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0" w:after="2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068" w:left="0" w:right="0" w:bottom="2122" w:header="0" w:footer="3" w:gutter="0"/>
          <w:rtlGutter w:val="0"/>
          <w:cols w:space="720"/>
          <w:noEndnote/>
          <w:docGrid w:linePitch="360"/>
        </w:sectPr>
      </w:pPr>
    </w:p>
    <w:p>
      <w:pPr>
        <w:pStyle w:val="Style2"/>
        <w:widowControl w:val="0"/>
        <w:keepNext w:val="0"/>
        <w:keepLines w:val="0"/>
        <w:pBdr>
          <w:bottom w:val="single" w:sz="4" w:space="1" w:color="auto"/>
        </w:pBdr>
        <w:shd w:val="clear" w:color="auto" w:fill="auto"/>
        <w:bidi w:val="0"/>
        <w:spacing w:before="0" w:after="1412"/>
        <w:ind w:left="40" w:right="0" w:firstLine="0"/>
      </w:pPr>
      <w:r>
        <w:rPr>
          <w:lang w:val="zh-CN" w:eastAsia="zh-CN" w:bidi="zh-CN"/>
          <w:w w:val="100"/>
          <w:color w:val="000000"/>
          <w:position w:val="0"/>
        </w:rPr>
        <w:t>法办〔2018〕273号</w:t>
      </w:r>
    </w:p>
    <w:p>
      <w:pPr>
        <w:pStyle w:val="Style4"/>
        <w:widowControl w:val="0"/>
        <w:keepNext w:val="0"/>
        <w:keepLines w:val="0"/>
        <w:shd w:val="clear" w:color="auto" w:fill="auto"/>
        <w:bidi w:val="0"/>
        <w:spacing w:before="0" w:after="616"/>
        <w:ind w:left="40" w:right="0" w:firstLine="0"/>
      </w:pPr>
      <w:r>
        <w:rPr>
          <w:lang w:val="zh-CN" w:eastAsia="zh-CN" w:bidi="zh-CN"/>
          <w:w w:val="100"/>
          <w:spacing w:val="0"/>
          <w:color w:val="000000"/>
          <w:position w:val="0"/>
        </w:rPr>
        <w:t>最高人民法院办公厅中国资产评估协会</w:t>
        <w:br/>
        <w:t>中国土地估价师与土地登记代理人协会</w:t>
        <w:br/>
        <w:t>中国房地产估价师与房地产经纪人学会</w:t>
        <w:br/>
        <w:t>中国矿业权评估师协会中国珠宝玉石首饰行业协会</w:t>
        <w:br/>
        <w:t>关于印发《人民法院委托评估工作规范》的通知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495" w:lineRule="exact"/>
        <w:ind w:left="0" w:right="0" w:firstLine="0"/>
      </w:pPr>
      <w:r>
        <w:rPr>
          <w:lang w:val="zh-CN" w:eastAsia="zh-CN" w:bidi="zh-CN"/>
          <w:w w:val="100"/>
          <w:color w:val="000000"/>
          <w:position w:val="0"/>
        </w:rPr>
        <w:t>各省、自治区、直辖市高级人民法院，解放军军事法院，新疆维吾尔 自治区高级人民法院生产建设兵团分院；各全国性评估行业协会、 地方性评估行业协会；各有关评估机构：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49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为全面落实《最高人民法院关于人民法院确定财产处置参考 价若干问题的规定》（以下简称参考价规定</w:t>
      </w:r>
      <w:r>
        <w:rPr>
          <w:lang w:val="en-US" w:eastAsia="en-US" w:bidi="en-US"/>
          <w:w w:val="100"/>
          <w:color w:val="000000"/>
          <w:position w:val="0"/>
        </w:rPr>
        <w:t>）（</w:t>
      </w:r>
      <w:r>
        <w:rPr>
          <w:lang w:val="zh-CN" w:eastAsia="zh-CN" w:bidi="zh-CN"/>
          <w:w w:val="100"/>
          <w:color w:val="000000"/>
          <w:position w:val="0"/>
        </w:rPr>
        <w:t>法释〔2018〕15号），</w:t>
      </w:r>
      <w:r>
        <w:br w:type="page"/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10" w:lineRule="exact"/>
        <w:ind w:left="0" w:right="0" w:firstLine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9.75pt;margin-top:142.5pt;width:425.25pt;height:436.5pt;z-index:-125829376;mso-wrap-distance-left:8.25pt;mso-wrap-distance-right:5.pt;mso-wrap-distance-bottom:69.pt;mso-position-horizontal-relative:margin" wrapcoords="0 0 21600 0 21600 21600 0 21600 0 0">
            <v:imagedata r:id="rId5" r:href="rId6"/>
            <w10:wrap type="topAndBottom" anchorx="margin"/>
          </v:shape>
        </w:pict>
      </w:r>
      <w:r>
        <w:pict>
          <v:shape id="_x0000_s1027" type="#_x0000_t75" style="position:absolute;margin-left:43.5pt;margin-top:648.pt;width:9.pt;height:14.25pt;z-index:-125829375;mso-wrap-distance-left:42.pt;mso-wrap-distance-right:5.pt;mso-wrap-distance-bottom:20.pt;mso-position-horizontal-relative:margin" wrapcoords="0 0 21600 0 21600 21600 0 21600 0 0">
            <v:imagedata r:id="rId7" r:href="rId8"/>
            <w10:wrap type="topAndBottom" anchorx="margin"/>
          </v:shape>
        </w:pict>
      </w:r>
      <w:r>
        <w:rPr>
          <w:lang w:val="zh-CN" w:eastAsia="zh-CN" w:bidi="zh-CN"/>
          <w:w w:val="100"/>
          <w:color w:val="000000"/>
          <w:position w:val="0"/>
        </w:rPr>
        <w:t>依法规范人民法院委托评估工作，提高委托评估工作效率，保护当 事人、利害关系人的合法权益，最高人民法院与中国资产评估协 会、中国土地估价师与土地登记代理人协会、中国房地产估价师与 房地产经纪人学会、中国矿业权评估师协会、中国珠宝玉石首饰行 业协会联合研究制定了《人民法院委托评估工作规范》，现予印发， 请遵照执行。</w:t>
      </w:r>
      <w:r>
        <w:br w:type="page"/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648"/>
        <w:ind w:left="20" w:right="0" w:firstLine="0"/>
      </w:pPr>
      <w:bookmarkStart w:id="0" w:name="bookmark0"/>
      <w:r>
        <w:rPr>
          <w:lang w:val="zh-CN" w:eastAsia="zh-CN" w:bidi="zh-CN"/>
          <w:w w:val="100"/>
          <w:spacing w:val="0"/>
          <w:color w:val="000000"/>
          <w:position w:val="0"/>
        </w:rPr>
        <w:t>人民法院委托评估工作规范</w:t>
      </w:r>
      <w:bookmarkEnd w:id="0"/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为依法规范人民法院委托评估工作，提高委托评估工作效率， 保护当事人、利害关系人的合法权益，根据《最高人民法院关于人 民法院确定财产处置参考价若干问题的规定》（以下简称参考价规 定）的规定，制定本规范。</w:t>
      </w:r>
    </w:p>
    <w:p>
      <w:pPr>
        <w:pStyle w:val="Style2"/>
        <w:tabs>
          <w:tab w:pos="117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一、</w:t>
        <w:tab/>
        <w:t>最高人民法院根据中国资产评估协会、中国土地估价师与 土地登记代理人协会、中国房地产估价师与房地产经纪人学会、中 国矿业权评估师协会、中国珠宝玉石首饰行业协会等全国性评估 行业协会推荐的评估机构名单建立人民法院涉执财产处置司法评 估机构名单库。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按评估专业领域和评估机构的执业范围在名单库下设资产、 土地、房地产、矿业权、珠宝玉石首饰等名单分库；在分库下根据行 政区划设省、市两级名单子库；市级行政区划内的评估机构满三家 的，设市级名单子库；除青海、西藏两地省级行政区划内的评估机 构满五家即设省级名单子库外，其他省级行政区划内的评估机构 满十家的，设省级名单子库。</w:t>
      </w:r>
    </w:p>
    <w:p>
      <w:pPr>
        <w:pStyle w:val="Style2"/>
        <w:tabs>
          <w:tab w:pos="117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二</w:t>
      </w:r>
      <w:r>
        <w:rPr>
          <w:rStyle w:val="CharStyle8"/>
        </w:rPr>
        <w:t>、</w:t>
        <w:tab/>
      </w:r>
      <w:r>
        <w:rPr>
          <w:lang w:val="zh-CN" w:eastAsia="zh-CN" w:bidi="zh-CN"/>
          <w:w w:val="100"/>
          <w:color w:val="000000"/>
          <w:position w:val="0"/>
        </w:rPr>
        <w:t>中国资产评估协会</w:t>
      </w:r>
      <w:r>
        <w:rPr>
          <w:rStyle w:val="CharStyle8"/>
        </w:rPr>
        <w:t>、中</w:t>
      </w:r>
      <w:r>
        <w:rPr>
          <w:lang w:val="zh-CN" w:eastAsia="zh-CN" w:bidi="zh-CN"/>
          <w:w w:val="100"/>
          <w:color w:val="000000"/>
          <w:position w:val="0"/>
        </w:rPr>
        <w:t>国土地估价师与土地登记代理人协 会、中国房地产估价师与房地产经纪人学会、中国矿业权评估师协 会、中国珠宝玉石首饰行业协会等全国性评估行业协会自行制定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left"/>
        <w:spacing w:before="0" w:after="0" w:line="570" w:lineRule="exact"/>
        <w:ind w:left="0" w:right="0" w:firstLine="0"/>
      </w:pPr>
      <w:r>
        <w:rPr>
          <w:lang w:val="zh-CN" w:eastAsia="zh-CN" w:bidi="zh-CN"/>
          <w:w w:val="100"/>
          <w:color w:val="000000"/>
          <w:position w:val="0"/>
        </w:rPr>
        <w:t>本行业推荐入选名单库的标准。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因违反资产评估法或者评估行业监督管理办法被有关部门处 罚的评估机构，五年内不得推荐入选名单库。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评估机构的收费标准高于所属全国性行业协会各评估机构平 均收费标准10%的，不得推荐入选名单库。</w:t>
      </w:r>
    </w:p>
    <w:p>
      <w:pPr>
        <w:pStyle w:val="Style2"/>
        <w:tabs>
          <w:tab w:pos="123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三、</w:t>
        <w:tab/>
        <w:t>最高人民法院应当将入选名单库的评估机构及其评估专 业人员的基本信息，以及评估机构在其所属全国性评估行业协会 报备的收费标准，在中国执行信息公开网上进行公示。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已入选名单库的评估机构变更名称、法定代表人、注册地址、 联系人、联系电话、评估专业人员的，该评估机构所属全国性评估 行业协会应当及时更新并及时函告最高人民法院。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最高人民法院应当及时更新中国执行信息公开网上公示的相 关信息。</w:t>
      </w:r>
    </w:p>
    <w:p>
      <w:pPr>
        <w:pStyle w:val="Style2"/>
        <w:tabs>
          <w:tab w:pos="123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四、</w:t>
        <w:tab/>
        <w:t>已入选名单库的评估机构具有下列情形之一的，该评估机 构所属全国性评估行业协会应当及时函告最高人民法院，将其除 名：</w:t>
      </w:r>
    </w:p>
    <w:p>
      <w:pPr>
        <w:pStyle w:val="Style2"/>
        <w:tabs>
          <w:tab w:pos="14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（一）</w:t>
        <w:tab/>
        <w:t>被纳入失信被执行人名单的；</w:t>
      </w:r>
    </w:p>
    <w:p>
      <w:pPr>
        <w:pStyle w:val="Style2"/>
        <w:tabs>
          <w:tab w:pos="13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（二）</w:t>
        <w:tab/>
        <w:t>因违反资产评估法或者评估行业监督管理办法被有关部 门处罚的；</w:t>
      </w:r>
    </w:p>
    <w:p>
      <w:pPr>
        <w:pStyle w:val="Style2"/>
        <w:tabs>
          <w:tab w:pos="14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（三）</w:t>
        <w:tab/>
        <w:t>巳办理企业注销登记的；</w:t>
      </w:r>
    </w:p>
    <w:p>
      <w:pPr>
        <w:pStyle w:val="Style2"/>
        <w:tabs>
          <w:tab w:pos="14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（四）</w:t>
        <w:tab/>
        <w:t>已被市场监管部门吊销营业执照的；</w:t>
      </w:r>
    </w:p>
    <w:p>
      <w:pPr>
        <w:pStyle w:val="Style2"/>
        <w:tabs>
          <w:tab w:pos="14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（五）</w:t>
        <w:tab/>
        <w:t>违反所属行业协会自律管理规定，受到严重惩戒的。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最高人民法院应当根据各全国性评估行业协会的建议，将相 关评估机构从名单库中除名，并函告全国性评估行业协会，同时建 议全国性评估行业协会五年内不得再推荐该评估机构入选名单 库。</w:t>
      </w:r>
    </w:p>
    <w:p>
      <w:pPr>
        <w:pStyle w:val="Style2"/>
        <w:tabs>
          <w:tab w:pos="12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五、</w:t>
        <w:tab/>
        <w:t>已入选名单库的评估机构具有下列情形之一的，最高人民 法院应当函告该评估机构所属的全国性评估行业协会，将其除名， 五年内不得再推荐该评估机构入选名单库：</w:t>
      </w:r>
    </w:p>
    <w:p>
      <w:pPr>
        <w:pStyle w:val="Style2"/>
        <w:tabs>
          <w:tab w:pos="14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（一）</w:t>
        <w:tab/>
        <w:t>无正当理由拒绝进行司法评估的；</w:t>
      </w:r>
    </w:p>
    <w:p>
      <w:pPr>
        <w:pStyle w:val="Style2"/>
        <w:tabs>
          <w:tab w:pos="14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（二）</w:t>
        <w:tab/>
        <w:t>存在弄虚作假情形的；</w:t>
      </w:r>
    </w:p>
    <w:p>
      <w:pPr>
        <w:pStyle w:val="Style2"/>
        <w:tabs>
          <w:tab w:pos="138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（三）</w:t>
        <w:tab/>
        <w:t>具有第四条第一款规定情形之一，但全国性评估行业协 会未函告最高人民法院的；</w:t>
      </w:r>
    </w:p>
    <w:p>
      <w:pPr>
        <w:pStyle w:val="Style2"/>
        <w:tabs>
          <w:tab w:pos="14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2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（四）</w:t>
        <w:tab/>
        <w:t>未按照在所属全国性评估行业协会报备的收费标准计算</w:t>
      </w:r>
    </w:p>
    <w:p>
      <w:pPr>
        <w:pStyle w:val="Style2"/>
        <w:tabs>
          <w:tab w:pos="696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25" w:lineRule="exact"/>
        <w:ind w:left="0" w:right="0" w:firstLine="0"/>
      </w:pPr>
      <w:r>
        <w:rPr>
          <w:lang w:val="zh-CN" w:eastAsia="zh-CN" w:bidi="zh-CN"/>
          <w:w w:val="100"/>
          <w:color w:val="000000"/>
          <w:position w:val="0"/>
        </w:rPr>
        <w:t>评估费用的。</w:t>
        <w:tab/>
      </w:r>
      <w:r>
        <w:rPr>
          <w:rStyle w:val="CharStyle9"/>
          <w:lang w:val="zh-CN" w:eastAsia="zh-CN" w:bidi="zh-CN"/>
          <w:vertAlign w:val="superscript"/>
        </w:rPr>
        <w:t>：</w:t>
      </w:r>
      <w:r>
        <w:rPr>
          <w:rStyle w:val="CharStyle9"/>
        </w:rPr>
        <w:t>d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全国性评估行业协会应当及时回复意见，最高人民法院根据 全国性评估行业协会的回复意见，将相关评估机构从名单库中除 名，并函告全国性评估行业协会。</w:t>
      </w:r>
    </w:p>
    <w:p>
      <w:pPr>
        <w:pStyle w:val="Style2"/>
        <w:tabs>
          <w:tab w:pos="12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六、</w:t>
        <w:tab/>
        <w:t>最高人民法院应当将除名的评估机构名单在中国执行信 息公开网上进行公示。</w:t>
      </w:r>
    </w:p>
    <w:p>
      <w:pPr>
        <w:pStyle w:val="Style2"/>
        <w:tabs>
          <w:tab w:pos="11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七、</w:t>
        <w:tab/>
        <w:t>最高人民法院每年将名单库中评估机构的评估工作情况 向其所属的全国性评估行业协会通报一次。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各全国性评估行业协会每年根据最高人民法院通报的已入选 名单库和新申请加入名单库的评估机构的情况，重新向最高人民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left"/>
        <w:spacing w:before="0" w:after="0" w:line="570" w:lineRule="exact"/>
        <w:ind w:left="0" w:right="0" w:firstLine="0"/>
      </w:pPr>
      <w:r>
        <w:rPr>
          <w:lang w:val="zh-CN" w:eastAsia="zh-CN" w:bidi="zh-CN"/>
          <w:w w:val="100"/>
          <w:color w:val="000000"/>
          <w:position w:val="0"/>
        </w:rPr>
        <w:t>法院推荐入选名单库的评估机构名单。</w:t>
      </w:r>
    </w:p>
    <w:p>
      <w:pPr>
        <w:pStyle w:val="Style2"/>
        <w:tabs>
          <w:tab w:pos="123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八、</w:t>
        <w:tab/>
        <w:t>最高人民法院建设全国法院询价评估系统（以下简称询价 评估系统），各全国性评估行业协会建设本协会全国司法评估管理 系统/平台（以下简称评估管理系统/平台），询价评估系统与评估 管理系统/平台，通过最高人民法院与各全国性评估行业协会之间 专线进行对接，实现对推荐入选名单库的评估机构及其评估专业 人员和收费标准的信息共享，以及最高人民法院与各全国性评估 行业协会、人民法院与评估机构之间委托评估数据和相关材料的 传输。</w:t>
      </w:r>
    </w:p>
    <w:p>
      <w:pPr>
        <w:pStyle w:val="Style2"/>
        <w:tabs>
          <w:tab w:pos="12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九、</w:t>
        <w:tab/>
        <w:t>具有下列情形之一，人民法院应当委托评估机构进行评 估：</w:t>
      </w:r>
    </w:p>
    <w:p>
      <w:pPr>
        <w:pStyle w:val="Style2"/>
        <w:tabs>
          <w:tab w:pos="14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（一）</w:t>
        <w:tab/>
        <w:t>涉及国有资产或者公共利益等事项的；</w:t>
      </w:r>
    </w:p>
    <w:p>
      <w:pPr>
        <w:pStyle w:val="Style2"/>
        <w:tabs>
          <w:tab w:pos="13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（二）</w:t>
        <w:tab/>
        <w:t>企业国有资产法、公司法、合伙企业法、证券法、拍卖法、 公路法等法律、行政法规规定必须委托评估的；</w:t>
      </w:r>
    </w:p>
    <w:p>
      <w:pPr>
        <w:pStyle w:val="Style2"/>
        <w:tabs>
          <w:tab w:pos="14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（三）</w:t>
        <w:tab/>
        <w:t>双方当事人要求委托评估的》</w:t>
      </w:r>
    </w:p>
    <w:p>
      <w:pPr>
        <w:pStyle w:val="Style2"/>
        <w:tabs>
          <w:tab w:pos="13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（四）</w:t>
        <w:tab/>
        <w:t>司法网络询价平台不能或者在期限内均未出具网络询价 结果的；</w:t>
      </w:r>
    </w:p>
    <w:p>
      <w:pPr>
        <w:pStyle w:val="Style2"/>
        <w:tabs>
          <w:tab w:pos="14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（五）</w:t>
        <w:tab/>
        <w:t>法律、法规有明确规定的。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十、委托评估的，人民法院应当通知双方当事人在指定期间内 从人民法院指定的名单分库中协商确定三家评估机构及顺序。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双方当事人未在人民法院指定的期间内，在名单分库中一致 确定三家评估机构及顺序，或者因一方当事人下落不明无法进行 协商的，人民法院应当及时在询价评估系统中采取摇号方式随机 确定三家评估机构及顺序。财产所在地设有市级名单子库的，应 当在市级名单子库中随机确定；财产所在地未设市级名单子库，但 设有省级名单子库的，应当在省级名单子库中随机确定；财产所在 地未设名单子库的，应当根据财产类型，在名单分库中随机确定。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十一、最高人民法院应当将当事人协商或者通过摇号方式确 定的评估机构名称在中国执行信息公开网上进行公示。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十二、评估机构确定后，人民法院应当及时通过询价评估系统 向顺序在先的评估机构发送评估委托书，评估委托书应当附财产 清单。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人民法院应当按照本规范附件中列明的各项评估需要提供的 材料清单，将查明的材料扫描上传至询价评估系统。本规范附件 评估材料清单中列明的委托评估需要提供的材料，人民法院未能 调取到或实际不存在的，应当在评估委托书中注明。图纸、账册等 无法扫描的，人民法院应当在评估委托书中注明。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十三、评估机构应当及时通过系统接收人民法院的评估委托 书。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人民法院通过询价评估系统向评估机构成功发出评估委托书 后，评估机构三个工作日内未接收的，人民法院应当通知评估机构 接收，全国性评估行业协会应当督促评估机构接收。评估机构接 到通知后三个工作日内仍未接收的，人民法院应当撤回对该评估 机构的委托，并另行委托下一顺序的评估机构重新进行评估。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十四、评估机构接收人民法院的评估委托书后，认为有下列情 形之一的，应当在三个工作日内向人民法院说明情况，提出不承接 委托评估申请：</w:t>
      </w:r>
    </w:p>
    <w:p>
      <w:pPr>
        <w:pStyle w:val="Style2"/>
        <w:tabs>
          <w:tab w:pos="14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（一）</w:t>
        <w:tab/>
        <w:t>其与当事人或者评估财产有利害关系；</w:t>
      </w:r>
    </w:p>
    <w:p>
      <w:pPr>
        <w:pStyle w:val="Style2"/>
        <w:tabs>
          <w:tab w:pos="14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（二）</w:t>
        <w:tab/>
        <w:t>已办理注销登记或者被市场监管部门吊销营业执照；</w:t>
      </w:r>
    </w:p>
    <w:p>
      <w:pPr>
        <w:pStyle w:val="Style2"/>
        <w:tabs>
          <w:tab w:pos="14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（三）</w:t>
        <w:tab/>
        <w:t>依法不能进行评估的其他情形。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人民法院经审査，认为评估机构申请不承接委托评估的理由 成立的，应当在三日内撤回对该评估机构的委托，并另行委托下一 顺序的评估机构重新进行评估；认为评估机构申请不承接委托评 估的理由不成立的，应当在三曰内通知评估机构。</w:t>
      </w:r>
    </w:p>
    <w:p>
      <w:pPr>
        <w:pStyle w:val="Style2"/>
        <w:tabs>
          <w:tab w:pos="56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评估机构未在规定期限内向人民法院提出不承接委托评估申 请的，视为接受委托，</w:t>
        <w:tab/>
        <w:t>，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十五、最高人民法院应当将评估机构不承接委托评估的理由 进行公开。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当事人协商或者通过摇号方式确定的三家评估机构不承接委 托评估的理由均成立的，人民法院应当通过原方式重新确定评估 机构；当事人不能协商确定三家评估机构的，人民法院应当通过摇 号方式确定。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十六、评估机构接受委托或者其不承接委托评估的理由不成 立的，人民法院应当将扫描上传至询价评估系统的材料发送给评 估机构；图纸、账册等材料无法扫描的，应当及时邮寄或者直接交 付给评估机构。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十七、评估机构收到评估委托书和相关材料后，应当及时确定 评估专业人员，并通过系统将评估专业人员的信息发送给人民法 院。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因违反资产评估法或者评估行业监督管理办法被有关部门处 罚不满一年，以及与当事人或者评估财产有利害关系的评估专业 人员，不得参与司法委托评估工作。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十八、评估机构确定评估专业人员后，应当及时开展评估工 作。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需要现场勘验的，评估机构应当及时通知人民法院组织进行。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十九、人民法院未按本规范附件中列明的委托评估需要提供 的材料清单提供全部材料，评估机构认为无法进行评估或者影响 评估结果的，应当及时告知人民法院。人民法院应当告知当事人， 并要求当事人提供材料或材料线索。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当事人不提供或未能提供，以及根据当事人提供的材料线索 无法提取到相关材料的，人民法院应当通知评估机构根据现有材 料进行评估，并告知当事人因缺乏材料可能影响评估结果的风险。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二十、评估机构应在收到评估委托书和相关材料后三十曰内 出具评估报告，并通过系统发送给人民法院。人民法院通过询价 评估系统发送委托评估材料的，询价评估系统提示成功发送的时 间为评估机构收到时间；人民法院邮寄或者直接交付委托评估材 料的，以评估机构签收的时间为收到时间。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  <w:sectPr>
          <w:type w:val="continuous"/>
          <w:pgSz w:w="11900" w:h="16840"/>
          <w:pgMar w:top="2068" w:left="1529" w:right="1597" w:bottom="2122" w:header="0" w:footer="3" w:gutter="0"/>
          <w:rtlGutter w:val="0"/>
          <w:cols w:space="720"/>
          <w:noEndnote/>
          <w:docGrid w:linePitch="360"/>
        </w:sectPr>
      </w:pPr>
      <w:r>
        <w:rPr>
          <w:lang w:val="zh-CN" w:eastAsia="zh-CN" w:bidi="zh-CN"/>
          <w:w w:val="100"/>
          <w:color w:val="000000"/>
          <w:position w:val="0"/>
        </w:rPr>
        <w:t xml:space="preserve">二十一、评估机构认为不能在期限内出具评估报告的，应当在 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期限届满五曰前通过系统向人民法院发送书面的延期申请。申请 书中应当说明不能按期完成评估的原因，以及申请延长的期限，但 期限不得超过十五曰</w:t>
      </w:r>
      <w:r>
        <w:rPr>
          <w:rStyle w:val="CharStyle9"/>
          <w:vertAlign w:val="subscript"/>
        </w:rPr>
        <w:t>B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人民法院收到评估机构的延期申请后，应当在三日内决定是 否延期，并通过系统通知评估机构。决定延期的，应当确定延长的 期限；决定不延期的，应当说明理由。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评估机构在人民法院确定的延长期限内，仍不能出具评估报 告的，应当按照第一款的要求向人民法院再次提出一次延期申请。 对于评估机构的延期申请，人民法院应当按照第二款的要求办理。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二十二、评估机构未在收到评估委托书和相关材料后三十曰 内或者未在人民法院确定的第一次延长期限内出具评估报告，亦 不向人民法院申请延期的，人民法院应当撤回对该评估机构的委 托，告知其在三日内退回委托评估的材料，并另行委托下一顺序的 评估机构重新进行评估。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二十三、人民法院认为评估报告具有参考价规定第二十条规 定的情形之一的，应当通过系统向评估机构发出通知书，要求评估 机构在三日内予以说明或者补正。通知书应当载明评估报告存在 的问题，需要说明或者补正的事项。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评估机构未在期限内按照人民法院的要求进行说明或者补正 的，人民法院应当通知该评估机构在三日内退回委托评估的材料， 并另行委托下一顺序的评估机构重新逬行评估。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二十四、人民法院应当在收到评估报告或者书面说明、补正材 料后，按照参考价规定第二十一条的规定向当事人、利害关系人发 送。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二十五、当事人、利害关系人认为评估报告存在参考价规定第 二十二条第一款第一、二项情形，在收到评估报告后五曰内提出书 面异议，人民法院经审查，裁定异议成立的，人民法院应当在三日 内交评估机构予以书面说明或者补正。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评估机构在五曰内未作说明或者补正的，人民法院应当撤回 对该评估机构的委托，告知其在三日内退回委托评估的材料，并另 行委托下一顺序的评估机构重新进行评估。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二十六、当事人、利害关系人认为评估报告存在参考价规定第 二十二条第一款第三、四项情形，在收到评估报告后五日内提出书 面异议，人民法院经审查，裁定异议成立的，人民法院应当通知该 评估机构在三日内退回委托评估的材料，并另行委托下一顺序的 评估机构重新进行评估。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二十七、当事人、利害关系人收到评估报告后五日内对评估报 告的参照标准、计算方法或者评估结果等提出书面异议的，人民法 院应当在三日内交评估机构予以书面说明。评估机构在五曰内未 作说明或者当事人、利害关系人对作出的说明仍有异议的，人民法 院应当交该评估机构所属全国性评估行业协会组织进行专业技术 评审。全国性评估行业协会可以根据实际情况，指定省级评估行 业协会进行专业技术评审。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省级评估行业协会或者全国性行业协会应当在人民法院指定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left"/>
        <w:spacing w:before="0" w:after="0" w:line="570" w:lineRule="exact"/>
        <w:ind w:left="0" w:right="0" w:firstLine="0"/>
      </w:pPr>
      <w:r>
        <w:rPr>
          <w:lang w:val="zh-CN" w:eastAsia="zh-CN" w:bidi="zh-CN"/>
          <w:w w:val="100"/>
          <w:color w:val="000000"/>
          <w:position w:val="0"/>
        </w:rPr>
        <w:t>的期限内出具评审意见。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二十八、人民法院依据参考价规定第二十八条决定暂缓委托 评估的，应当通过系统向评估机构发送暂缓委托评估通知书。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暂缓情形消失后，人民法院应当及时通过系统向评估机构发 送恢复委托评估通知书。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二十九、人民法院依据参考价规定第二十九条撤回委托评估 的，应当通过系统及时向评估机构发送撤回委托评估通知书。通 知书应当载明撤回委托评估的原因，以及指定期限要求评估机构 出具因评估巳实际支出费用的说明，并附相关凭证。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三十、评估机构应当按照其在所属全国性评估行业协会报备 的收费标准，并依据参考价规定第三十二条的规定收取委托评估 费用。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三十一、评估机构应当根据评估报告中的评估价和在所属全 国性评估行业协会报备的收费标准计算预估评估费，并出具预估 评估费交纳通知书与评估报告一并提交给人民法院。人民法院应 当按照预估评估费用的50%通知申请执行人垫付，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人民法院应当将申请执行人交纳的评估费支付给评估机构， 并注明实际评估费用按照参考价规定第三十二条的规定计算，多 退少补。申请执行人以签订保险合同的方式垫付评估费的，人民 法院应当告知评估机构。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7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三十二、人民法院通过系统向评估机构成功发送退回委托评 估材料的通知，即视为终止委托评估。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评估机构是否接收前款规定的通知，以及是否退回委托评估 的材料，不影响人民法院另行委托评估机构重新进行评估。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人民法院通过线下发送给评估机构的评估材料，评估机构未 在期限内退回的，人民法院可以强制提取。对妨碍强制提取的，人 民法院可以参照民事诉讼法第一百一十一条、第一百一十四条的 规定处理。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三十三、最高人民法院与各全国性评估行业协会建立司法委 托评估工作协调和处理机制工作小组，负责名单库的推荐与除名， 以及解决人民法院与评估机构间因委托评估发生的相关事宜。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780" w:line="55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三十四、最高人民法院与各全国性评估行业协会协商确定的 《人民法院委托评估需要提供的材料清单》作为本规范附件。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660"/>
        <w:sectPr>
          <w:footerReference w:type="even" r:id="rId9"/>
          <w:footerReference w:type="default" r:id="rId10"/>
          <w:pgSz w:w="11900" w:h="16840"/>
          <w:pgMar w:top="2068" w:left="1529" w:right="1597" w:bottom="2122" w:header="0" w:footer="3" w:gutter="0"/>
          <w:rtlGutter w:val="0"/>
          <w:cols w:space="720"/>
          <w:noEndnote/>
          <w:docGrid w:linePitch="360"/>
        </w:sectPr>
      </w:pPr>
      <w:r>
        <w:rPr>
          <w:lang w:val="zh-CN" w:eastAsia="zh-CN" w:bidi="zh-CN"/>
          <w:w w:val="100"/>
          <w:color w:val="000000"/>
          <w:position w:val="0"/>
        </w:rPr>
        <w:t>附件：人民法院委托评估需要提供的材料清单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880"/>
        <w:ind w:left="0" w:right="0" w:firstLine="0"/>
      </w:pPr>
      <w:r>
        <w:rPr>
          <w:lang w:val="zh-CN" w:eastAsia="zh-CN" w:bidi="zh-CN"/>
          <w:w w:val="100"/>
          <w:spacing w:val="0"/>
          <w:color w:val="000000"/>
          <w:position w:val="0"/>
        </w:rPr>
        <w:t>附件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860"/>
        <w:ind w:left="20" w:right="0" w:firstLine="0"/>
      </w:pPr>
      <w:bookmarkStart w:id="1" w:name="bookmark1"/>
      <w:r>
        <w:rPr>
          <w:lang w:val="zh-CN" w:eastAsia="zh-CN" w:bidi="zh-CN"/>
          <w:w w:val="100"/>
          <w:spacing w:val="0"/>
          <w:color w:val="000000"/>
          <w:position w:val="0"/>
        </w:rPr>
        <w:t>人民法院委托评估需要提供的材料清单</w:t>
      </w:r>
      <w:bookmarkEnd w:id="1"/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60"/>
        <w:ind w:left="0" w:right="0" w:firstLine="660"/>
      </w:pPr>
      <w:r>
        <w:rPr>
          <w:lang w:val="zh-CN" w:eastAsia="zh-CN" w:bidi="zh-CN"/>
          <w:w w:val="100"/>
          <w:spacing w:val="0"/>
          <w:color w:val="000000"/>
          <w:position w:val="0"/>
        </w:rPr>
        <w:t>一、房地产类</w:t>
      </w:r>
    </w:p>
    <w:p>
      <w:pPr>
        <w:pStyle w:val="Style2"/>
        <w:tabs>
          <w:tab w:pos="14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2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（一）</w:t>
        <w:tab/>
        <w:t>必需材料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1•权属证明（巳办理权属登记的），包括：《不动产权证书》或 《房地产权证》《房屋所有权证》《国有土地使用证》，《国有建设用地 使用证》《集体土地所有权证》《集体建设用地使用证》《集体土地承 包权证》；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2•合法来源证明（未办理权属登记的），包括：房地产买卖合 同、继承证明（公证书、判决或调解书等）、相关批文、契税发票、测 绘成果等；</w:t>
      </w:r>
    </w:p>
    <w:p>
      <w:pPr>
        <w:pStyle w:val="Style2"/>
        <w:numPr>
          <w:ilvl w:val="0"/>
          <w:numId w:val="1"/>
        </w:numPr>
        <w:tabs>
          <w:tab w:pos="10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抵押等他项权证明，已出租房地产的租赁合同》</w:t>
      </w:r>
    </w:p>
    <w:p>
      <w:pPr>
        <w:pStyle w:val="Style2"/>
        <w:numPr>
          <w:ilvl w:val="0"/>
          <w:numId w:val="1"/>
        </w:numPr>
        <w:tabs>
          <w:tab w:pos="9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法院查明的财产权属、质董瑕疵等材料，以及关于财产的特 殊情况说明。</w:t>
      </w:r>
    </w:p>
    <w:p>
      <w:pPr>
        <w:pStyle w:val="Style15"/>
        <w:tabs>
          <w:tab w:pos="141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/>
        <w:ind w:left="0" w:right="0"/>
      </w:pPr>
      <w:r>
        <w:rPr>
          <w:lang w:val="zh-CN" w:eastAsia="zh-CN" w:bidi="zh-CN"/>
          <w:w w:val="100"/>
          <w:color w:val="000000"/>
          <w:position w:val="0"/>
        </w:rPr>
        <w:t>（二）</w:t>
        <w:tab/>
        <w:t>一般材料</w:t>
      </w:r>
    </w:p>
    <w:p>
      <w:pPr>
        <w:pStyle w:val="Style2"/>
        <w:numPr>
          <w:ilvl w:val="0"/>
          <w:numId w:val="3"/>
        </w:numPr>
        <w:tabs>
          <w:tab w:pos="10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房地产状况相关材料，包括：相关工程建设、图纸、房屋交付 等资料，房屋装修情况，房屋占用和维护情况，自营性房地产（如宾 馆、餐饮、娱乐场所等）的收益及相应的成本费用资料。</w:t>
      </w:r>
    </w:p>
    <w:p>
      <w:pPr>
        <w:pStyle w:val="Style2"/>
        <w:numPr>
          <w:ilvl w:val="0"/>
          <w:numId w:val="3"/>
        </w:numPr>
        <w:tabs>
          <w:tab w:pos="9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60"/>
        <w:sectPr>
          <w:pgSz w:w="11900" w:h="16840"/>
          <w:pgMar w:top="2023" w:left="1508" w:right="1587" w:bottom="1927" w:header="0" w:footer="3" w:gutter="0"/>
          <w:rtlGutter w:val="0"/>
          <w:cols w:space="720"/>
          <w:noEndnote/>
          <w:docGrid w:linePitch="360"/>
        </w:sectPr>
      </w:pPr>
      <w:r>
        <w:rPr>
          <w:lang w:val="zh-CN" w:eastAsia="zh-CN" w:bidi="zh-CN"/>
          <w:w w:val="100"/>
          <w:color w:val="000000"/>
          <w:position w:val="0"/>
        </w:rPr>
        <w:t xml:space="preserve">在建工程相关材料，包括：建设项目可行性研究资料及立项 批准文件、《国有建设用地使用权出让合同》（或《国有土地划拨决 定书》）《建设用地规划许可证》《建设工程规划许可证》《建筑工程 </w:t>
      </w:r>
    </w:p>
    <w:p>
      <w:pPr>
        <w:pStyle w:val="Style2"/>
        <w:tabs>
          <w:tab w:pos="9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施工许可证》《商品房预售许可证》《商品房预售合同》、规划总平面 图、建筑设计平面图、施工总承包合同、工程预算资料、征收及市政 配套协议、房屋设计说明及设计交付时间、施工进度安排及实际逬 度、隐蔽工程图纸、测绘报告或分层分部位建筑面积明细表、地价 付款凭证、工程付款凭证、主要机电设备安装规划及实际安装与付 款凭证、实际装修与付款凭证、房屋预售部分清单及反映房地产收 益的资料等。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80"/>
      </w:pPr>
      <w:r>
        <w:rPr>
          <w:lang w:val="zh-CN" w:eastAsia="zh-CN" w:bidi="zh-CN"/>
          <w:w w:val="100"/>
          <w:spacing w:val="0"/>
          <w:color w:val="000000"/>
          <w:position w:val="0"/>
        </w:rPr>
        <w:t>二、土地类</w:t>
      </w:r>
    </w:p>
    <w:p>
      <w:pPr>
        <w:pStyle w:val="Style2"/>
        <w:tabs>
          <w:tab w:pos="143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80"/>
      </w:pPr>
      <w:r>
        <w:rPr>
          <w:lang w:val="zh-CN" w:eastAsia="zh-CN" w:bidi="zh-CN"/>
          <w:w w:val="100"/>
          <w:color w:val="000000"/>
          <w:position w:val="0"/>
        </w:rPr>
        <w:t>（一）</w:t>
        <w:tab/>
        <w:t>必需材料</w:t>
      </w:r>
    </w:p>
    <w:p>
      <w:pPr>
        <w:pStyle w:val="Style2"/>
        <w:numPr>
          <w:ilvl w:val="0"/>
          <w:numId w:val="5"/>
        </w:numPr>
        <w:tabs>
          <w:tab w:pos="10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80"/>
      </w:pPr>
      <w:r>
        <w:rPr>
          <w:lang w:val="zh-CN" w:eastAsia="zh-CN" w:bidi="zh-CN"/>
          <w:w w:val="100"/>
          <w:color w:val="000000"/>
          <w:position w:val="0"/>
        </w:rPr>
        <w:t>权属证明（已办理权属登记的），包括：《不动产权证书》或 《房地产权证》《国有土地使用证》《国有建设用地使用证》《集体土 地所有权证》《集体建设用地使用证》《国有土地使用权证》《集体土 地使用权证》《集体土地承包权证》；</w:t>
      </w:r>
    </w:p>
    <w:p>
      <w:pPr>
        <w:pStyle w:val="Style2"/>
        <w:numPr>
          <w:ilvl w:val="0"/>
          <w:numId w:val="5"/>
        </w:numPr>
        <w:tabs>
          <w:tab w:pos="104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80"/>
      </w:pPr>
      <w:r>
        <w:rPr>
          <w:lang w:val="zh-CN" w:eastAsia="zh-CN" w:bidi="zh-CN"/>
          <w:w w:val="100"/>
          <w:color w:val="000000"/>
          <w:position w:val="0"/>
        </w:rPr>
        <w:t>合法来源证明，包括：《国有建设用地使用权出让合同》或 《转让合同》《置换集体土地上的土地承包合同》、出让金及契税发 票、规划条件函等规划批复文件；</w:t>
      </w:r>
    </w:p>
    <w:p>
      <w:pPr>
        <w:pStyle w:val="Style2"/>
        <w:numPr>
          <w:ilvl w:val="0"/>
          <w:numId w:val="5"/>
        </w:numPr>
        <w:tabs>
          <w:tab w:pos="109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80"/>
      </w:pPr>
      <w:r>
        <w:rPr>
          <w:lang w:val="zh-CN" w:eastAsia="zh-CN" w:bidi="zh-CN"/>
          <w:w w:val="100"/>
          <w:color w:val="000000"/>
          <w:position w:val="0"/>
        </w:rPr>
        <w:t>抵押等他项权证明；</w:t>
      </w:r>
    </w:p>
    <w:p>
      <w:pPr>
        <w:pStyle w:val="Style2"/>
        <w:numPr>
          <w:ilvl w:val="0"/>
          <w:numId w:val="5"/>
        </w:numPr>
        <w:tabs>
          <w:tab w:pos="10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80"/>
      </w:pPr>
      <w:r>
        <w:rPr>
          <w:lang w:val="zh-CN" w:eastAsia="zh-CN" w:bidi="zh-CN"/>
          <w:w w:val="100"/>
          <w:color w:val="000000"/>
          <w:position w:val="0"/>
        </w:rPr>
        <w:t>法院查明的财产权属、质量瑕疵等材料，以及关于财产的特 殊情况说明。</w:t>
      </w:r>
    </w:p>
    <w:p>
      <w:pPr>
        <w:pStyle w:val="Style2"/>
        <w:tabs>
          <w:tab w:pos="143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80"/>
      </w:pPr>
      <w:r>
        <w:rPr>
          <w:lang w:val="zh-CN" w:eastAsia="zh-CN" w:bidi="zh-CN"/>
          <w:w w:val="100"/>
          <w:color w:val="000000"/>
          <w:position w:val="0"/>
        </w:rPr>
        <w:t>（二）</w:t>
        <w:tab/>
        <w:t>一般材料</w:t>
      </w:r>
    </w:p>
    <w:p>
      <w:pPr>
        <w:pStyle w:val="Style2"/>
        <w:numPr>
          <w:ilvl w:val="0"/>
          <w:numId w:val="7"/>
        </w:numPr>
        <w:tabs>
          <w:tab w:pos="10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80"/>
      </w:pPr>
      <w:r>
        <w:rPr>
          <w:lang w:val="zh-CN" w:eastAsia="zh-CN" w:bidi="zh-CN"/>
          <w:w w:val="100"/>
          <w:color w:val="000000"/>
          <w:position w:val="0"/>
        </w:rPr>
        <w:t>地上建筑物材料（有权属登记的），包括:《不动产权证书》或 《房屋所有权证》；</w:t>
      </w:r>
    </w:p>
    <w:p>
      <w:pPr>
        <w:pStyle w:val="Style2"/>
        <w:numPr>
          <w:ilvl w:val="0"/>
          <w:numId w:val="7"/>
        </w:numPr>
        <w:tabs>
          <w:tab w:pos="107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80"/>
      </w:pPr>
      <w:r>
        <w:rPr>
          <w:lang w:val="zh-CN" w:eastAsia="zh-CN" w:bidi="zh-CN"/>
          <w:w w:val="100"/>
          <w:color w:val="000000"/>
          <w:position w:val="0"/>
        </w:rPr>
        <w:t>在建工程材料，包括：《建设用地规划许可证》《建设工程规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left"/>
        <w:spacing w:before="0" w:after="0" w:line="555" w:lineRule="exact"/>
        <w:ind w:left="0" w:right="0" w:firstLine="0"/>
      </w:pPr>
      <w:r>
        <w:rPr>
          <w:lang w:val="zh-CN" w:eastAsia="zh-CN" w:bidi="zh-CN"/>
          <w:w w:val="100"/>
          <w:color w:val="000000"/>
          <w:position w:val="0"/>
        </w:rPr>
        <w:t>划许可证》《建筑工程施工许可证》《工程竣工验收备案表》等；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3•租赁情况材料，包括《土地租赁合同》《房屋租赁合同》《土地 承包经营合同》。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rStyle w:val="CharStyle17"/>
          <w:b w:val="0"/>
          <w:bCs w:val="0"/>
        </w:rPr>
        <w:t>三</w:t>
      </w:r>
      <w:r>
        <w:rPr>
          <w:lang w:val="zh-CN" w:eastAsia="zh-CN" w:bidi="zh-CN"/>
          <w:w w:val="100"/>
          <w:spacing w:val="0"/>
          <w:color w:val="000000"/>
          <w:position w:val="0"/>
        </w:rPr>
        <w:t>、矿业权类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（一）探矿权类评估</w:t>
      </w:r>
    </w:p>
    <w:p>
      <w:pPr>
        <w:pStyle w:val="Style2"/>
        <w:numPr>
          <w:ilvl w:val="0"/>
          <w:numId w:val="9"/>
        </w:numPr>
        <w:tabs>
          <w:tab w:pos="10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必需材料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⑴权属材料，包括：勘查许可证及其批准的区块范围图、探矿 权出让收益（价款）缴纳情况说明及相关材料、探矿权人营业执照 或事业单位法人证书；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⑵地质、储量及采矿、选矿类技术类材料，包括：地质勘查全过 程所取得各种地勘成果（历次地质勘查报告及有关资料以及相关 评审意见书与评审备案证明）、综合性地质矿产平面图（标注勘查 区范围的地形地质图）、矿区勘查工程布置图、典型剖面图（包括 孔、坑道等内容）、物化探成果图、主要矿体（层）储量计算图、矿山 建设可行性研究报告或初步设计或开发利用方案；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⑶财务统计类材料，包括：地质勘查工作期间的历年投入的地 勘费统计报表、地质勘查工作期间主要、大额的地勘费发票、历年 完成的勘查实物工作量统计（包括地形地质测量物探、化探、钻探、 坑探、浅井、槽探工程等）；</w:t>
      </w:r>
    </w:p>
    <w:p>
      <w:pPr>
        <w:pStyle w:val="Style2"/>
        <w:tabs>
          <w:tab w:pos="69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⑷抵押等他项权证明；</w:t>
        <w:tab/>
        <w:t>-</w:t>
      </w:r>
      <w:r>
        <w:rPr>
          <w:lang w:val="en-US" w:eastAsia="en-US" w:bidi="en-US"/>
          <w:w w:val="100"/>
          <w:color w:val="000000"/>
          <w:position w:val="0"/>
        </w:rPr>
        <w:t>-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⑸法院查明的财产权属、质量瑕疵等材料，以及关于财产的特 殊情况说明。</w:t>
      </w:r>
    </w:p>
    <w:p>
      <w:pPr>
        <w:pStyle w:val="Style2"/>
        <w:numPr>
          <w:ilvl w:val="0"/>
          <w:numId w:val="9"/>
        </w:numPr>
        <w:tabs>
          <w:tab w:pos="10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—般材料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⑴综合材料，包括：勘查许可证的历史沿革（含最初设立、延续 及变更、变更原因等）、以往矿业权评估史（包括评估时间、目的、范 围、评估机构和评估结果）、探矿权人简介（包括历史沿革、人员构 成、生产经营现状、企业发展过程中的重大事件、内部机构设置及 隶属关系、资产等经营管理核算模式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⑵财务统计类材料，包括：地质勘查工作“出资证明”等。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（二）采矿权类评估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1.必需材料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⑴权属材料，包括：采矿权人及矿山法人营业执照、采矿许可 证副本或划定矿区范围批复、采矿权出让收益（价款）缴纳情况说 明及相关文件材料；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⑵地质材料，包括：与本次评估基准日最接近的矿产资源储量 报告及其储量评审意见及备案证明、储量核实基准日至评估基准 曰各年储量动态报表、矿区范围地质图、典型剖面图、主要矿体 （层）储量计算图；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⑶采、选材料，包括：矿山开发利用方案或可行性研究报告或 初步设计及其审查意见、矿山近三年来生产报表或主要技术经济 指标统计表（包括设计损失、采矿损失率及矿石贫化率、采选冶原 矿矿石量及原矿品位、选矿回收率、冶炼回收率、精矿品位、产品方 案及产量与销量）、开拓系统平面示意图、采选工艺流程图；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⑷财务统计类材料，包括：按矿山采、选（冶）分列的近三年度 财务决算报告和评估基准日会计表（含辅助报表）、近五年度和评 估基准日当年产品销售统计（含年度主要产品的销售数量、价格、 收入等）、近五年度和评估基准日当年有代表性的销售合同增值税 发票复印件（按不同产品、不同年度分别提供）、截止评估基准曰经 营性固定资产分类汇总表（按单位或部门分别提供或汇总提供）；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⑸抵押等他项权证明；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en-US" w:eastAsia="en-US" w:bidi="en-US"/>
          <w:w w:val="100"/>
          <w:color w:val="000000"/>
          <w:position w:val="0"/>
        </w:rPr>
        <w:t>（6）</w:t>
      </w:r>
      <w:r>
        <w:rPr>
          <w:lang w:val="zh-CN" w:eastAsia="zh-CN" w:bidi="zh-CN"/>
          <w:w w:val="100"/>
          <w:color w:val="000000"/>
          <w:position w:val="0"/>
        </w:rPr>
        <w:t>法院查明的财产权属、质</w:t>
      </w:r>
      <w:r>
        <w:rPr>
          <w:rStyle w:val="CharStyle8"/>
        </w:rPr>
        <w:t>董瑕疵</w:t>
      </w:r>
      <w:r>
        <w:rPr>
          <w:lang w:val="zh-CN" w:eastAsia="zh-CN" w:bidi="zh-CN"/>
          <w:w w:val="100"/>
          <w:color w:val="000000"/>
          <w:position w:val="0"/>
        </w:rPr>
        <w:t>等材料，以及关于财产的特 殊情况说明。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2.—般材料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⑴综合材料，包括：以往矿业权评估史（含评估时间、目的、范 围、评估机构和评估结果）、产品销售说明等、采矿权人及矿山简介 （历史沿革、人员构成、生产经营现状、企业发展过程中的重大事 件、企业内部机构设置及隶属关系、采、选、冶、加工、运输、销售、资 产等经营、管理、核算模式）；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⑵地质材料，包括：矿区开发现状、矿产资源开采情况、下一步 开采计划等；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⑶财务统计类材料，包括：企业缴纳的税（费）种、税费率及免 税事项说明及相关文件、土地使用权证或土地租赁协议等。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zh-CN" w:eastAsia="zh-CN" w:bidi="zh-CN"/>
          <w:w w:val="100"/>
          <w:spacing w:val="0"/>
          <w:color w:val="000000"/>
          <w:position w:val="0"/>
        </w:rPr>
        <w:t>四、珠宝玉石首饰类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（一）必需材料</w:t>
      </w:r>
    </w:p>
    <w:p>
      <w:pPr>
        <w:pStyle w:val="Style2"/>
        <w:numPr>
          <w:ilvl w:val="0"/>
          <w:numId w:val="11"/>
        </w:numPr>
        <w:tabs>
          <w:tab w:pos="10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存货清单，项目包括种类（主石种类）、数董、规格（尺寸、总 量、主石重）、账面价值、物理状况等；</w:t>
      </w:r>
    </w:p>
    <w:p>
      <w:pPr>
        <w:pStyle w:val="Style2"/>
        <w:numPr>
          <w:ilvl w:val="0"/>
          <w:numId w:val="11"/>
        </w:numPr>
        <w:tabs>
          <w:tab w:pos="10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照片，可为有代表性的部分存货照片；</w:t>
      </w:r>
    </w:p>
    <w:p>
      <w:pPr>
        <w:pStyle w:val="Style2"/>
        <w:numPr>
          <w:ilvl w:val="0"/>
          <w:numId w:val="11"/>
        </w:numPr>
        <w:tabs>
          <w:tab w:pos="10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60"/>
      </w:pPr>
      <w:r>
        <w:rPr>
          <w:lang w:val="zh-CN" w:eastAsia="zh-CN" w:bidi="zh-CN"/>
          <w:w w:val="100"/>
          <w:color w:val="000000"/>
          <w:position w:val="0"/>
        </w:rPr>
        <w:t>权属证明、购买或证明其初始价值的粟据复印件（査阅原 件）、往来账款凭证等。</w:t>
      </w:r>
    </w:p>
    <w:p>
      <w:pPr>
        <w:pStyle w:val="Style2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质押等他项权利证明；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5•法院扣押、查明财产情况等材料，以及关于财产的特殊情况 说明。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（二）</w:t>
      </w:r>
      <w:r>
        <w:rPr>
          <w:rStyle w:val="CharStyle18"/>
        </w:rPr>
        <w:t>一</w:t>
      </w:r>
      <w:r>
        <w:rPr>
          <w:lang w:val="zh-CN" w:eastAsia="zh-CN" w:bidi="zh-CN"/>
          <w:w w:val="100"/>
          <w:color w:val="000000"/>
          <w:position w:val="0"/>
        </w:rPr>
        <w:t>般材料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1•详细清单资料，包括：分类清单（按照原材料、成品等类别分 类）、存货其他详细信息（包括存放地点、货品名称、品名、条码号、 售价、数量、规格、总重、金重、主石类型、主石重量、主石数量、净度 级别、颜色级别、辅石名称、辅石重量、辅石数量、金成本、主石成 本、辅石成本、工费、成本等）；</w:t>
      </w:r>
    </w:p>
    <w:p>
      <w:pPr>
        <w:pStyle w:val="Style2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其他相关材料，包括：鉴定证书、以往评估报告。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spacing w:val="0"/>
          <w:color w:val="000000"/>
          <w:position w:val="0"/>
        </w:rPr>
        <w:t>五、资产类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（一）无形资产评估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包括专利权、商标权、著作权、专有技术、特许经营权、商誉等 无形资产。</w:t>
      </w:r>
    </w:p>
    <w:p>
      <w:pPr>
        <w:pStyle w:val="Style2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必需材料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⑴权属证明，包括：各项无形资产的法律权属文件，专利还需 提供专利登记薄副本、专利说明书，技术类的无形资产应当尽量提 供相关的《科学技术成果鉴定证书》或《鉴定报告》；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⑵产品发展情况，包括•.与无形资产相关的产品项目销售合 同、产品项目建议书、合资合作意向书，可行性研究报告或技术改 造方案、专利查新报告，评估基准日后企业未来五年与无形资产相 关的发展规划、追加投资计划和收益预测；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⑶他项权利情况，包括：委托评估无形资产使用许可情况说</w:t>
      </w:r>
    </w:p>
    <w:p>
      <w:pPr>
        <w:pStyle w:val="Style2"/>
        <w:tabs>
          <w:tab w:pos="67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0"/>
      </w:pPr>
      <w:r>
        <w:rPr>
          <w:lang w:val="zh-CN" w:eastAsia="zh-CN" w:bidi="zh-CN"/>
          <w:w w:val="100"/>
          <w:color w:val="000000"/>
          <w:position w:val="0"/>
        </w:rPr>
        <w:t>明、他项权利（抵押、质押）说明、涉及他项权利的协议及相关财务 数据；</w:t>
        <w:tab/>
        <w:t>^</w:t>
      </w:r>
    </w:p>
    <w:p>
      <w:pPr>
        <w:pStyle w:val="Style2"/>
        <w:tabs>
          <w:tab w:pos="67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⑷法院查明的财产权属、质量瑕疵等材料，以及关于财产的特 殊情况说明。</w:t>
        <w:tab/>
        <w:t xml:space="preserve">:* </w:t>
      </w:r>
      <w:r>
        <w:rPr>
          <w:lang w:val="en-US" w:eastAsia="en-US" w:bidi="en-US"/>
          <w:w w:val="100"/>
          <w:color w:val="000000"/>
          <w:position w:val="0"/>
        </w:rPr>
        <w:t xml:space="preserve">- </w:t>
      </w:r>
      <w:r>
        <w:rPr>
          <w:lang w:val="zh-CN" w:eastAsia="zh-CN" w:bidi="zh-CN"/>
          <w:w w:val="100"/>
          <w:color w:val="000000"/>
          <w:position w:val="0"/>
        </w:rPr>
        <w:t>&gt;</w:t>
      </w:r>
    </w:p>
    <w:p>
      <w:pPr>
        <w:pStyle w:val="Style2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—般材料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⑴其他具体材料，包括：专利检索报告、企业专利或专有技术 有偿（无偿）转让或买卖的合同复印件及最近一年缴纳年费的资 料，无形资产研发或购置的历史取得成本相关财务资料，无形资产 相关产品近三年生产经营统计资料及收益情况统计资料；企业近 三年（含评估基准日）财务报表及年度审计报告；评估基准日后企 业未来五年与无形资产相关的发展规划，追加投资计划，收益预 测；与无形资产相关的产品项目建议书，合资合作意向书，可行性 研究报告或技术改造方案。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rStyle w:val="CharStyle19"/>
        </w:rPr>
        <w:t>（二）</w:t>
      </w:r>
      <w:r>
        <w:rPr>
          <w:lang w:val="zh-CN" w:eastAsia="zh-CN" w:bidi="zh-CN"/>
          <w:w w:val="100"/>
          <w:color w:val="000000"/>
          <w:position w:val="0"/>
        </w:rPr>
        <w:t>机器设备及车辆评估</w:t>
      </w:r>
    </w:p>
    <w:p>
      <w:pPr>
        <w:pStyle w:val="Style2"/>
        <w:numPr>
          <w:ilvl w:val="0"/>
          <w:numId w:val="17"/>
        </w:numPr>
        <w:tabs>
          <w:tab w:pos="103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必需材料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包括：设备、车辆资产清单，国产设备的购货发票、合同，进口 设备的合同、报关单、装箱单，车辆行驶证、车辆注册登记证书、车 辆购置发票，机器设备及车辆抵押、担保、诉讼的协议、证明或书面 声明文件等；法院査明的财产权属、质量瑕疵等材料，以及关于财 产的特殊情况说明。</w:t>
      </w:r>
    </w:p>
    <w:p>
      <w:pPr>
        <w:pStyle w:val="Style2"/>
        <w:numPr>
          <w:ilvl w:val="0"/>
          <w:numId w:val="17"/>
        </w:numPr>
        <w:tabs>
          <w:tab w:pos="10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—般材料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包括：机器设备及车辆当前所在地以及事实占有、保管、仓储 等情况，机器设备账面价值组成说明（原始购置价值、清产核资入 账价值、前次评估入账价值），企业生产工艺流程图及相关技术文 件说明、设备档案（包括设备日常管理制度、运行记录、事故记录、 维修保养情况），精密、大型、价值量大的设备应提供有关技术检測 资料，车辆行驶里程数、历年的维修记录、由车管所出具的车辆查 询登记表，重要设备的运行状况和大修理技术改造情况的历史记 录和详细说明，需要年检的设备（电梯、行车、压力容器、锅炉等）的 年检合格证书。</w:t>
      </w:r>
    </w:p>
    <w:p>
      <w:pPr>
        <w:pStyle w:val="Style20"/>
        <w:tabs>
          <w:tab w:pos="135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/>
      </w:pPr>
      <w:r>
        <w:rPr>
          <w:lang w:val="zh-CN" w:eastAsia="zh-CN" w:bidi="zh-CN"/>
          <w:w w:val="100"/>
          <w:color w:val="000000"/>
          <w:position w:val="0"/>
        </w:rPr>
        <w:t>（三）</w:t>
        <w:tab/>
        <w:t>流动资产、递延资产和其他资产评估</w:t>
      </w:r>
    </w:p>
    <w:p>
      <w:pPr>
        <w:pStyle w:val="Style2"/>
        <w:numPr>
          <w:ilvl w:val="0"/>
          <w:numId w:val="19"/>
        </w:numPr>
        <w:tabs>
          <w:tab w:pos="99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必需材料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包括：企业会计政策、财务账册、记账凭证等财务会计资料，银 行对账单复印件、余额调节表、定期存款存单复印件，存货资产清 单，递延资产的入账依据、会计处理的依据等；法院查明的财产权 属、质量瑕疵等材料，以及关于财产的特殊情况说明。</w:t>
      </w:r>
    </w:p>
    <w:p>
      <w:pPr>
        <w:pStyle w:val="Style2"/>
        <w:numPr>
          <w:ilvl w:val="0"/>
          <w:numId w:val="19"/>
        </w:numPr>
        <w:tabs>
          <w:tab w:pos="100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—般材料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包括：存货管理制度、存货管理流程图（或简要文字描述），原 材料、产成品、库存商品、在用低值易耗品数量市场参考价格资料 （如存货近期的采购及销售合同等），库存现金盘点表、银行询证 函，存货盘点表，存货的质量状况说明（是否有积压、残次、报废的 情况，如有不良存货，应提供企业不良存货的明细及形成原因说 明），大额往来合同协议、往来款询证函，生鲜、药品等特殊存货，应 当提供保质期证明材料、产品合格证、出厂证明、报关单、存放地 点、抽样检测报告等文件，特殊资产需要提供检测、检验报告。</w:t>
      </w:r>
    </w:p>
    <w:p>
      <w:pPr>
        <w:pStyle w:val="Style20"/>
        <w:tabs>
          <w:tab w:pos="135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/>
        <w:sectPr>
          <w:footerReference w:type="even" r:id="rId11"/>
          <w:footerReference w:type="default" r:id="rId12"/>
          <w:footerReference w:type="first" r:id="rId13"/>
          <w:titlePg/>
          <w:pgSz w:w="11900" w:h="16840"/>
          <w:pgMar w:top="2023" w:left="1508" w:right="1587" w:bottom="1927" w:header="0" w:footer="3" w:gutter="0"/>
          <w:rtlGutter w:val="0"/>
          <w:cols w:space="720"/>
          <w:noEndnote/>
          <w:docGrid w:linePitch="360"/>
        </w:sectPr>
      </w:pPr>
      <w:r>
        <w:rPr>
          <w:lang w:val="zh-CN" w:eastAsia="zh-CN" w:bidi="zh-CN"/>
          <w:w w:val="100"/>
          <w:color w:val="000000"/>
          <w:position w:val="0"/>
        </w:rPr>
        <w:t>（四）</w:t>
        <w:tab/>
        <w:t>长期股权投资评估</w:t>
      </w:r>
    </w:p>
    <w:p>
      <w:pPr>
        <w:pStyle w:val="Style2"/>
        <w:numPr>
          <w:ilvl w:val="0"/>
          <w:numId w:val="21"/>
        </w:numPr>
        <w:tabs>
          <w:tab w:pos="10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必需材料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包括：投资协议、被投资企业营业执照、公司章程，被评估单位 具有实际控制权或有重大影响的长期股权投资单位，需单独提供 本清单中企业价值评估所需资料等；法院查明的财产权属、质董瑕 疵等材料，以及关于财产的特殊情况说明。</w:t>
      </w:r>
    </w:p>
    <w:p>
      <w:pPr>
        <w:pStyle w:val="Style2"/>
        <w:numPr>
          <w:ilvl w:val="0"/>
          <w:numId w:val="21"/>
        </w:numPr>
        <w:tabs>
          <w:tab w:pos="10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—般材料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包括：被投资企业评估基准日及前三年的审计报告及会计报 表，电子账套及记账凭证、账册，被投资企业近三年的利润分配情 况等。</w:t>
      </w:r>
    </w:p>
    <w:p>
      <w:pPr>
        <w:pStyle w:val="Style2"/>
        <w:tabs>
          <w:tab w:pos="14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（五）</w:t>
        <w:tab/>
        <w:t>负债类资产评估</w:t>
      </w:r>
    </w:p>
    <w:p>
      <w:pPr>
        <w:pStyle w:val="Style2"/>
        <w:numPr>
          <w:ilvl w:val="0"/>
          <w:numId w:val="23"/>
        </w:numPr>
        <w:tabs>
          <w:tab w:pos="103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必需材料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包括：企业财务账册、记账凭证等财务会计资料，长短期借款 合同、保证（抵押、质押、担保）合同及他项权利证明、贷款卡信患查 询（企业信用报告），各往来单位询证函，大额债权债务合同协议 等，专项应付款等其他负债的相关文件、合同、协议、入账凭证、合 同或协议执行情况说明，应交税费种类、税费率，纳税（费）申报表 及缴纳凭证等；法院查明的财产权属、质量瑕疵等材料，以及关于 财产的特殊情况说明。</w:t>
      </w:r>
    </w:p>
    <w:p>
      <w:pPr>
        <w:pStyle w:val="Style2"/>
        <w:numPr>
          <w:ilvl w:val="0"/>
          <w:numId w:val="23"/>
        </w:numPr>
        <w:tabs>
          <w:tab w:pos="103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—般材料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包括：询证函，为其他企业担保情况说明，涉诉情况说明；</w:t>
      </w:r>
    </w:p>
    <w:p>
      <w:pPr>
        <w:pStyle w:val="Style2"/>
        <w:tabs>
          <w:tab w:pos="137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rStyle w:val="CharStyle19"/>
        </w:rPr>
        <w:t>（六）</w:t>
        <w:tab/>
      </w:r>
      <w:r>
        <w:rPr>
          <w:lang w:val="zh-CN" w:eastAsia="zh-CN" w:bidi="zh-CN"/>
          <w:w w:val="100"/>
          <w:color w:val="000000"/>
          <w:position w:val="0"/>
        </w:rPr>
        <w:t>其他权益类评估（营运损失、停产停业损失、经营场地遭 受人为破坏引起的财产损失或其他损失）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55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此类业务主要收集：产权人资料，损失所对应的具体资料，正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left"/>
        <w:spacing w:before="0" w:after="0" w:line="540" w:lineRule="exact"/>
        <w:ind w:left="0" w:right="0" w:firstLine="0"/>
      </w:pPr>
      <w:r>
        <w:rPr>
          <w:lang w:val="zh-CN" w:eastAsia="zh-CN" w:bidi="zh-CN"/>
          <w:w w:val="100"/>
          <w:color w:val="000000"/>
          <w:position w:val="0"/>
        </w:rPr>
        <w:t>常经营期间的各种财务数据等。</w:t>
      </w:r>
    </w:p>
    <w:p>
      <w:pPr>
        <w:pStyle w:val="Style2"/>
        <w:tabs>
          <w:tab w:pos="13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（七）</w:t>
        <w:tab/>
        <w:t>森林资源资产评估</w:t>
      </w:r>
    </w:p>
    <w:p>
      <w:pPr>
        <w:pStyle w:val="Style2"/>
        <w:numPr>
          <w:ilvl w:val="0"/>
          <w:numId w:val="25"/>
        </w:numPr>
        <w:tabs>
          <w:tab w:pos="9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权属证明，包括：林权证（或不动产权证）、租地协议、林地流 转合同、承包合同等；</w:t>
      </w:r>
    </w:p>
    <w:p>
      <w:pPr>
        <w:pStyle w:val="Style2"/>
        <w:numPr>
          <w:ilvl w:val="0"/>
          <w:numId w:val="25"/>
        </w:numPr>
        <w:tabs>
          <w:tab w:pos="10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资产清单，包括：森林资源资产清单或经林业调查机构出具 的森林资源专项调查报告（含图表），含面积、林种、树种、林龄、林 组（产期）、株数、树高、胸径、蓄积量等相关林况因子；</w:t>
      </w:r>
    </w:p>
    <w:p>
      <w:pPr>
        <w:pStyle w:val="Style2"/>
        <w:numPr>
          <w:ilvl w:val="0"/>
          <w:numId w:val="25"/>
        </w:numPr>
        <w:tabs>
          <w:tab w:pos="98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图面资料，包括：涉案森林资源资产的地理位置、地形、林业 区划（林班、小班等）、林况、行政区划、地理坐标等相关信息；</w:t>
      </w:r>
    </w:p>
    <w:p>
      <w:pPr>
        <w:pStyle w:val="Style2"/>
        <w:numPr>
          <w:ilvl w:val="0"/>
          <w:numId w:val="25"/>
        </w:numPr>
        <w:tabs>
          <w:tab w:pos="10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抵押等他项权利情况；</w:t>
      </w:r>
    </w:p>
    <w:p>
      <w:pPr>
        <w:pStyle w:val="Style2"/>
        <w:numPr>
          <w:ilvl w:val="0"/>
          <w:numId w:val="25"/>
        </w:numPr>
        <w:tabs>
          <w:tab w:pos="10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法院查明的财产权属、质量瑕疵等材料，以及关于财产的特 殊情况说明。</w:t>
      </w:r>
    </w:p>
    <w:p>
      <w:pPr>
        <w:pStyle w:val="Style2"/>
        <w:tabs>
          <w:tab w:pos="13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（八）</w:t>
        <w:tab/>
        <w:t>企业价值评估其他必需材料</w:t>
      </w:r>
    </w:p>
    <w:p>
      <w:pPr>
        <w:pStyle w:val="Style2"/>
        <w:numPr>
          <w:ilvl w:val="0"/>
          <w:numId w:val="27"/>
        </w:numPr>
        <w:tabs>
          <w:tab w:pos="9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企业近三年（含评估基准日）财务报表和年度审计报告、电 子账套及记账凭证、账册，企业中长期发展规划，国有资产产权登 记表。</w:t>
      </w:r>
    </w:p>
    <w:p>
      <w:pPr>
        <w:pStyle w:val="Style2"/>
        <w:numPr>
          <w:ilvl w:val="0"/>
          <w:numId w:val="27"/>
        </w:numPr>
        <w:tabs>
          <w:tab w:pos="10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 xml:space="preserve">企业价值评估中，涉及流动资产、递延资产和其他资产，长 期股权投资，机器设备及车辆，投资性房地产，房屋建筑物、构筑物 及其他辅助设施、管道及沟槽、在建工程，土地使用权，其他无形资 产，负债时，则需要按照本资料清单中相应类别资产所列示清单收 </w:t>
      </w:r>
      <w:r>
        <w:rPr>
          <w:rStyle w:val="CharStyle22"/>
        </w:rPr>
        <w:t>集相关材料。一</w:t>
      </w:r>
    </w:p>
    <w:p>
      <w:pPr>
        <w:pStyle w:val="Style2"/>
        <w:numPr>
          <w:ilvl w:val="0"/>
          <w:numId w:val="27"/>
        </w:numPr>
        <w:tabs>
          <w:tab w:pos="9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 xml:space="preserve">企业价值评估中，使用收益法评估的，则还需收集如下资 料：企业近五年大型项目可行性研究报告、竣工验收报告，未来五 年发展规划与设想，投资项目计划、项目审批情况、资金到位情况、 计划可实现程度、企业面临的市场竞争性分析及其他优劣势分析。 企业适用税种、税率及税收优惠，今后五年各年新增固定资产、无 形资产投资、企业未来市场开发计划；工资发放政策、福利政策（含 </w:t>
      </w:r>
      <w:r>
        <w:rPr>
          <w:rStyle w:val="CharStyle23"/>
        </w:rPr>
        <w:t>社保）等。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（九）其他一般动产评估</w:t>
      </w:r>
    </w:p>
    <w:p>
      <w:pPr>
        <w:pStyle w:val="Style2"/>
        <w:numPr>
          <w:ilvl w:val="0"/>
          <w:numId w:val="29"/>
        </w:numPr>
        <w:tabs>
          <w:tab w:pos="598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 xml:space="preserve"> 必需材料</w:t>
        <w:tab/>
      </w:r>
      <w:r>
        <w:rPr>
          <w:lang w:val="en-US" w:eastAsia="en-US" w:bidi="en-US"/>
          <w:w w:val="100"/>
          <w:color w:val="000000"/>
          <w:position w:val="0"/>
        </w:rPr>
        <w:t>.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法院查明的财产权属、质董瑕疵等材料，以及关于财产的特殊 情况说明。</w:t>
      </w:r>
    </w:p>
    <w:p>
      <w:pPr>
        <w:pStyle w:val="Style2"/>
        <w:numPr>
          <w:ilvl w:val="0"/>
          <w:numId w:val="29"/>
        </w:numPr>
        <w:tabs>
          <w:tab w:pos="10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—般材料</w:t>
      </w:r>
    </w:p>
    <w:p>
      <w:pPr>
        <w:pStyle w:val="Style2"/>
        <w:widowControl w:val="0"/>
        <w:keepNext w:val="0"/>
        <w:keepLines w:val="0"/>
        <w:shd w:val="clear" w:color="auto" w:fill="auto"/>
        <w:bidi w:val="0"/>
        <w:jc w:val="both"/>
        <w:spacing w:before="0" w:after="4832" w:line="540" w:lineRule="exact"/>
        <w:ind w:left="0" w:right="0" w:firstLine="640"/>
      </w:pPr>
      <w:r>
        <w:rPr>
          <w:lang w:val="zh-CN" w:eastAsia="zh-CN" w:bidi="zh-CN"/>
          <w:w w:val="100"/>
          <w:color w:val="000000"/>
          <w:position w:val="0"/>
        </w:rPr>
        <w:t>财产的购置凭证，如发票或者合同。</w:t>
      </w:r>
    </w:p>
    <w:p>
      <w:pPr>
        <w:framePr w:h="2160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3" type="#_x0000_t75" style="width:436pt;height:108pt;">
            <v:imagedata r:id="rId14" r:href="rId15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</w:pPr>
    </w:p>
    <w:sectPr>
      <w:footerReference w:type="even" r:id="rId16"/>
      <w:footerReference w:type="default" r:id="rId17"/>
      <w:footerReference w:type="first" r:id="rId18"/>
      <w:titlePg/>
      <w:pgSz w:w="11900" w:h="16840"/>
      <w:pgMar w:top="2023" w:left="1508" w:right="1587" w:bottom="1927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117.3pt;margin-top:762.4pt;width:12.pt;height:9.7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63.45pt;margin-top:749.4pt;width:11.25pt;height:9.75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117.3pt;margin-top:762.4pt;width:12.pt;height:9.75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1" type="#_x0000_t202" style="position:absolute;margin-left:463.45pt;margin-top:749.4pt;width:11.25pt;height:9.75pt;z-index:-188744061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2" type="#_x0000_t202" style="position:absolute;margin-left:463.9pt;margin-top:748.65pt;width:12.pt;height:10.5pt;z-index:-188744060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4" type="#_x0000_t202" style="position:absolute;margin-left:116.25pt;margin-top:752.65pt;width:37.5pt;height:10.5pt;z-index:-188744059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2"/>
                    </w:rPr>
                    <w:t>#</w:t>
                  </w:r>
                </w:fldSimple>
                <w:r>
                  <w:rPr>
                    <w:rStyle w:val="CharStyle24"/>
                  </w:rP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5" type="#_x0000_t202" style="position:absolute;margin-left:463.45pt;margin-top:749.4pt;width:11.25pt;height:9.75pt;z-index:-188744058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6" type="#_x0000_t202" style="position:absolute;margin-left:117.3pt;margin-top:762.4pt;width:12.pt;height:9.75pt;z-index:-188744057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3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12">
    <w:multiLevelType w:val="multilevel"/>
    <w:lvl w:ilvl="0">
      <w:start w:val="2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16">
    <w:multiLevelType w:val="multilevel"/>
    <w:lvl w:ilvl="0">
      <w:start w:val="1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18">
    <w:multiLevelType w:val="multilevel"/>
    <w:lvl w:ilvl="0">
      <w:start w:val="1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20">
    <w:multiLevelType w:val="multilevel"/>
    <w:lvl w:ilvl="0">
      <w:start w:val="1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22">
    <w:multiLevelType w:val="multilevel"/>
    <w:lvl w:ilvl="0">
      <w:start w:val="1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24">
    <w:multiLevelType w:val="multilevel"/>
    <w:lvl w:ilvl="0">
      <w:start w:val="1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26">
    <w:multiLevelType w:val="multilevel"/>
    <w:lvl w:ilvl="0">
      <w:start w:val="1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abstractNum w:abstractNumId="28">
    <w:multiLevelType w:val="multilevel"/>
    <w:lvl w:ilvl="0">
      <w:start w:val="1"/>
      <w:numFmt w:val="decimal"/>
      <w:lvlText w:val="%1."/>
      <w:rPr>
        <w:lang w:val="zh-CN" w:eastAsia="zh-CN" w:bidi="zh-CN"/>
        <w:b w:val="0"/>
        <w:bCs w:val="0"/>
        <w:i w:val="0"/>
        <w:iCs w:val="0"/>
        <w:u w:val="none"/>
        <w:strike w:val="0"/>
        <w:smallCaps w:val="0"/>
        <w:sz w:val="28"/>
        <w:szCs w:val="28"/>
        <w:rFonts w:ascii="PMingLiU" w:eastAsia="PMingLiU" w:hAnsi="PMingLiU" w:cs="PMingLiU"/>
        <w:w w:val="100"/>
        <w:spacing w:val="3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zh-CN" w:eastAsia="zh-CN" w:bidi="zh-CN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zh-CN" w:eastAsia="zh-CN" w:bidi="zh-CN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u w:val="none"/>
      <w:strike w:val="0"/>
      <w:smallCaps w:val="0"/>
      <w:sz w:val="28"/>
      <w:szCs w:val="28"/>
      <w:rFonts w:ascii="PMingLiU" w:eastAsia="PMingLiU" w:hAnsi="PMingLiU" w:cs="PMingLiU"/>
      <w:spacing w:val="30"/>
    </w:rPr>
  </w:style>
  <w:style w:type="character" w:customStyle="1" w:styleId="CharStyle5">
    <w:name w:val="Body text|3_"/>
    <w:basedOn w:val="DefaultParagraphFont"/>
    <w:link w:val="Style4"/>
    <w:rPr>
      <w:b w:val="0"/>
      <w:bCs w:val="0"/>
      <w:i w:val="0"/>
      <w:iCs w:val="0"/>
      <w:u w:val="none"/>
      <w:strike w:val="0"/>
      <w:smallCaps w:val="0"/>
      <w:sz w:val="38"/>
      <w:szCs w:val="38"/>
      <w:rFonts w:ascii="PMingLiU" w:eastAsia="PMingLiU" w:hAnsi="PMingLiU" w:cs="PMingLiU"/>
    </w:rPr>
  </w:style>
  <w:style w:type="character" w:customStyle="1" w:styleId="CharStyle7">
    <w:name w:val="Heading #1|1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38"/>
      <w:szCs w:val="38"/>
      <w:rFonts w:ascii="PMingLiU" w:eastAsia="PMingLiU" w:hAnsi="PMingLiU" w:cs="PMingLiU"/>
    </w:rPr>
  </w:style>
  <w:style w:type="character" w:customStyle="1" w:styleId="CharStyle8">
    <w:name w:val="Body text|2 + Bold,Spacing 0 pt"/>
    <w:semiHidden/>
    <w:unhideWhenUsed/>
    <w:basedOn w:val="CharStyle3"/>
    <w:rPr>
      <w:lang w:val="zh-CN" w:eastAsia="zh-CN" w:bidi="zh-CN"/>
      <w:b/>
      <w:bCs/>
      <w:w w:val="100"/>
      <w:spacing w:val="0"/>
      <w:color w:val="000000"/>
      <w:position w:val="0"/>
    </w:rPr>
  </w:style>
  <w:style w:type="character" w:customStyle="1" w:styleId="CharStyle9">
    <w:name w:val="Body text|2 + 8.5 pt,Spacing 34 pt"/>
    <w:semiHidden/>
    <w:unhideWhenUsed/>
    <w:basedOn w:val="CharStyle3"/>
    <w:rPr>
      <w:lang w:val="en-US" w:eastAsia="en-US" w:bidi="en-US"/>
      <w:sz w:val="17"/>
      <w:szCs w:val="17"/>
      <w:w w:val="100"/>
      <w:spacing w:val="680"/>
      <w:color w:val="000000"/>
      <w:position w:val="0"/>
    </w:rPr>
  </w:style>
  <w:style w:type="character" w:customStyle="1" w:styleId="CharStyle11">
    <w:name w:val="Header or footer|1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rFonts w:ascii="PMingLiU" w:eastAsia="PMingLiU" w:hAnsi="PMingLiU" w:cs="PMingLiU"/>
    </w:rPr>
  </w:style>
  <w:style w:type="character" w:customStyle="1" w:styleId="CharStyle12">
    <w:name w:val="Header or footer|1"/>
    <w:semiHidden/>
    <w:unhideWhenUsed/>
    <w:basedOn w:val="CharStyle11"/>
    <w:rPr>
      <w:lang w:val="zh-CN" w:eastAsia="zh-CN" w:bidi="zh-CN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Body text|4_"/>
    <w:basedOn w:val="DefaultParagraphFont"/>
    <w:link w:val="Style13"/>
    <w:rPr>
      <w:b/>
      <w:bCs/>
      <w:i w:val="0"/>
      <w:iCs w:val="0"/>
      <w:u w:val="none"/>
      <w:strike w:val="0"/>
      <w:smallCaps w:val="0"/>
      <w:sz w:val="28"/>
      <w:szCs w:val="28"/>
      <w:rFonts w:ascii="PMingLiU" w:eastAsia="PMingLiU" w:hAnsi="PMingLiU" w:cs="PMingLiU"/>
    </w:rPr>
  </w:style>
  <w:style w:type="character" w:customStyle="1" w:styleId="CharStyle16">
    <w:name w:val="Body text|5_"/>
    <w:basedOn w:val="DefaultParagraphFont"/>
    <w:link w:val="Style15"/>
    <w:rPr>
      <w:b/>
      <w:bCs/>
      <w:i w:val="0"/>
      <w:iCs w:val="0"/>
      <w:u w:val="none"/>
      <w:strike w:val="0"/>
      <w:smallCaps w:val="0"/>
      <w:sz w:val="28"/>
      <w:szCs w:val="28"/>
      <w:rFonts w:ascii="PMingLiU" w:eastAsia="PMingLiU" w:hAnsi="PMingLiU" w:cs="PMingLiU"/>
      <w:spacing w:val="20"/>
    </w:rPr>
  </w:style>
  <w:style w:type="character" w:customStyle="1" w:styleId="CharStyle17">
    <w:name w:val="Body text|4 + Not Bold,Spacing 1 pt"/>
    <w:semiHidden/>
    <w:unhideWhenUsed/>
    <w:basedOn w:val="CharStyle14"/>
    <w:rPr>
      <w:lang w:val="zh-CN" w:eastAsia="zh-CN" w:bidi="zh-CN"/>
      <w:b/>
      <w:bCs/>
      <w:w w:val="100"/>
      <w:spacing w:val="30"/>
      <w:color w:val="000000"/>
      <w:position w:val="0"/>
    </w:rPr>
  </w:style>
  <w:style w:type="character" w:customStyle="1" w:styleId="CharStyle18">
    <w:name w:val="Body text|2 + 4 pt,Spacing 0 pt,Scaling 60%"/>
    <w:semiHidden/>
    <w:unhideWhenUsed/>
    <w:basedOn w:val="CharStyle3"/>
    <w:rPr>
      <w:lang w:val="zh-CN" w:eastAsia="zh-CN" w:bidi="zh-CN"/>
      <w:sz w:val="8"/>
      <w:szCs w:val="8"/>
      <w:w w:val="60"/>
      <w:spacing w:val="0"/>
      <w:color w:val="000000"/>
      <w:position w:val="0"/>
    </w:rPr>
  </w:style>
  <w:style w:type="character" w:customStyle="1" w:styleId="CharStyle19">
    <w:name w:val="Body text|2 + Bold,Spacing 1 pt"/>
    <w:semiHidden/>
    <w:unhideWhenUsed/>
    <w:basedOn w:val="CharStyle3"/>
    <w:rPr>
      <w:lang w:val="zh-CN" w:eastAsia="zh-CN" w:bidi="zh-CN"/>
      <w:b/>
      <w:bCs/>
      <w:w w:val="100"/>
      <w:spacing w:val="20"/>
      <w:color w:val="000000"/>
      <w:position w:val="0"/>
    </w:rPr>
  </w:style>
  <w:style w:type="character" w:customStyle="1" w:styleId="CharStyle21">
    <w:name w:val="Body text|6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6"/>
      <w:szCs w:val="26"/>
      <w:rFonts w:ascii="PMingLiU" w:eastAsia="PMingLiU" w:hAnsi="PMingLiU" w:cs="PMingLiU"/>
      <w:spacing w:val="20"/>
    </w:rPr>
  </w:style>
  <w:style w:type="character" w:customStyle="1" w:styleId="CharStyle22">
    <w:name w:val="Body text|2 + Spacing 50 pt"/>
    <w:semiHidden/>
    <w:unhideWhenUsed/>
    <w:basedOn w:val="CharStyle3"/>
    <w:rPr>
      <w:lang w:val="zh-CN" w:eastAsia="zh-CN" w:bidi="zh-CN"/>
      <w:w w:val="100"/>
      <w:spacing w:val="1000"/>
      <w:color w:val="000000"/>
      <w:position w:val="0"/>
    </w:rPr>
  </w:style>
  <w:style w:type="character" w:customStyle="1" w:styleId="CharStyle23">
    <w:name w:val="Body text|2 + Spacing 0 pt"/>
    <w:semiHidden/>
    <w:unhideWhenUsed/>
    <w:basedOn w:val="CharStyle3"/>
    <w:rPr>
      <w:lang w:val="zh-CN" w:eastAsia="zh-CN" w:bidi="zh-CN"/>
      <w:w w:val="100"/>
      <w:spacing w:val="0"/>
      <w:color w:val="000000"/>
      <w:position w:val="0"/>
    </w:rPr>
  </w:style>
  <w:style w:type="character" w:customStyle="1" w:styleId="CharStyle24">
    <w:name w:val="Header or footer|1 + 4 pt"/>
    <w:semiHidden/>
    <w:unhideWhenUsed/>
    <w:basedOn w:val="CharStyle11"/>
    <w:rPr>
      <w:lang w:val="zh-CN" w:eastAsia="zh-CN" w:bidi="zh-CN"/>
      <w:sz w:val="8"/>
      <w:szCs w:val="8"/>
      <w:w w:val="100"/>
      <w:spacing w:val="0"/>
      <w:color w:val="000000"/>
      <w:position w:val="0"/>
    </w:rPr>
  </w:style>
  <w:style w:type="paragraph" w:customStyle="1" w:styleId="Style2">
    <w:name w:val="Body text|2"/>
    <w:basedOn w:val="Normal"/>
    <w:link w:val="CharStyle3"/>
    <w:qFormat/>
    <w:pPr>
      <w:widowControl w:val="0"/>
      <w:shd w:val="clear" w:color="auto" w:fill="FFFFFF"/>
      <w:jc w:val="center"/>
      <w:spacing w:after="1680" w:line="28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PMingLiU" w:eastAsia="PMingLiU" w:hAnsi="PMingLiU" w:cs="PMingLiU"/>
      <w:spacing w:val="30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jc w:val="center"/>
      <w:spacing w:before="1680" w:after="520" w:line="615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PMingLiU" w:eastAsia="PMingLiU" w:hAnsi="PMingLiU" w:cs="PMingLiU"/>
    </w:rPr>
  </w:style>
  <w:style w:type="paragraph" w:customStyle="1" w:styleId="Style6">
    <w:name w:val="Heading #1|1"/>
    <w:basedOn w:val="Normal"/>
    <w:link w:val="CharStyle7"/>
    <w:qFormat/>
    <w:pPr>
      <w:widowControl w:val="0"/>
      <w:shd w:val="clear" w:color="auto" w:fill="FFFFFF"/>
      <w:jc w:val="center"/>
      <w:outlineLvl w:val="0"/>
      <w:spacing w:after="800" w:line="380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PMingLiU" w:eastAsia="PMingLiU" w:hAnsi="PMingLiU" w:cs="PMingLiU"/>
    </w:rPr>
  </w:style>
  <w:style w:type="paragraph" w:customStyle="1" w:styleId="Style10">
    <w:name w:val="Header or footer|1"/>
    <w:basedOn w:val="Normal"/>
    <w:link w:val="CharStyle11"/>
    <w:qFormat/>
    <w:pPr>
      <w:widowControl w:val="0"/>
      <w:shd w:val="clear" w:color="auto" w:fill="FFFFFF"/>
      <w:spacing w:line="240" w:lineRule="exact"/>
    </w:pPr>
    <w:rPr>
      <w:b w:val="0"/>
      <w:bCs w:val="0"/>
      <w:i w:val="0"/>
      <w:iCs w:val="0"/>
      <w:u w:val="none"/>
      <w:strike w:val="0"/>
      <w:smallCaps w:val="0"/>
      <w:rFonts w:ascii="PMingLiU" w:eastAsia="PMingLiU" w:hAnsi="PMingLiU" w:cs="PMingLiU"/>
    </w:rPr>
  </w:style>
  <w:style w:type="paragraph" w:customStyle="1" w:styleId="Style13">
    <w:name w:val="Body text|4"/>
    <w:basedOn w:val="Normal"/>
    <w:link w:val="CharStyle14"/>
    <w:pPr>
      <w:widowControl w:val="0"/>
      <w:shd w:val="clear" w:color="auto" w:fill="FFFFFF"/>
      <w:spacing w:after="960" w:line="28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PMingLiU" w:eastAsia="PMingLiU" w:hAnsi="PMingLiU" w:cs="PMingLiU"/>
    </w:rPr>
  </w:style>
  <w:style w:type="paragraph" w:customStyle="1" w:styleId="Style15">
    <w:name w:val="Body text|5"/>
    <w:basedOn w:val="Normal"/>
    <w:link w:val="CharStyle16"/>
    <w:pPr>
      <w:widowControl w:val="0"/>
      <w:shd w:val="clear" w:color="auto" w:fill="FFFFFF"/>
      <w:jc w:val="distribute"/>
      <w:spacing w:after="80" w:line="540" w:lineRule="exact"/>
      <w:ind w:firstLine="660"/>
    </w:pPr>
    <w:rPr>
      <w:b/>
      <w:bCs/>
      <w:i w:val="0"/>
      <w:iCs w:val="0"/>
      <w:u w:val="none"/>
      <w:strike w:val="0"/>
      <w:smallCaps w:val="0"/>
      <w:sz w:val="28"/>
      <w:szCs w:val="28"/>
      <w:rFonts w:ascii="PMingLiU" w:eastAsia="PMingLiU" w:hAnsi="PMingLiU" w:cs="PMingLiU"/>
      <w:spacing w:val="20"/>
    </w:rPr>
  </w:style>
  <w:style w:type="paragraph" w:customStyle="1" w:styleId="Style20">
    <w:name w:val="Body text|6"/>
    <w:basedOn w:val="Normal"/>
    <w:link w:val="CharStyle21"/>
    <w:pPr>
      <w:widowControl w:val="0"/>
      <w:shd w:val="clear" w:color="auto" w:fill="FFFFFF"/>
      <w:jc w:val="distribute"/>
      <w:spacing w:line="540" w:lineRule="exact"/>
      <w:ind w:firstLine="64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PMingLiU" w:eastAsia="PMingLiU" w:hAnsi="PMingLiU" w:cs="PMingLiU"/>
      <w:spacing w:val="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footer" Target="footer5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footer" Target="footer6.xml"/><Relationship Id="rId17" Type="http://schemas.openxmlformats.org/officeDocument/2006/relationships/footer" Target="footer7.xml"/><Relationship Id="rId18" Type="http://schemas.openxmlformats.org/officeDocument/2006/relationships/footer" Target="footer8.xml"/></Relationships>
</file>