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480" w:lineRule="exact"/>
        <w:rPr>
          <w:rFonts w:hint="eastAsia" w:ascii="黑体" w:hAnsi="宋体" w:eastAsia="黑体" w:cs="宋体"/>
          <w:bCs/>
          <w:kern w:val="0"/>
          <w:szCs w:val="36"/>
        </w:rPr>
      </w:pPr>
      <w:bookmarkStart w:id="0" w:name="OLE_LINK1"/>
      <w:r>
        <w:rPr>
          <w:rFonts w:hint="eastAsia" w:ascii="黑体" w:hAnsi="宋体" w:eastAsia="黑体" w:cs="宋体"/>
          <w:bCs/>
          <w:kern w:val="0"/>
          <w:szCs w:val="36"/>
        </w:rPr>
        <w:t>附件1</w:t>
      </w:r>
    </w:p>
    <w:p>
      <w:pPr>
        <w:widowControl/>
        <w:spacing w:line="480" w:lineRule="exact"/>
        <w:jc w:val="center"/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</w:pPr>
      <w:bookmarkStart w:id="1" w:name="_GoBack"/>
      <w:r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  <w:t>工商登记前置审批事项目录</w:t>
      </w:r>
    </w:p>
    <w:p>
      <w:pPr>
        <w:spacing w:line="480" w:lineRule="exact"/>
        <w:jc w:val="center"/>
        <w:rPr>
          <w:rFonts w:hint="eastAsia" w:ascii="方正小标宋简体" w:hAnsi="宋体" w:eastAsia="方正小标宋简体" w:cs="宋体"/>
          <w:bCs/>
          <w:kern w:val="0"/>
          <w:sz w:val="36"/>
          <w:szCs w:val="36"/>
        </w:rPr>
      </w:pPr>
      <w:r>
        <w:rPr>
          <w:rFonts w:hint="eastAsia" w:hAnsi="仿宋_GB2312"/>
        </w:rPr>
        <w:t>（2017年9月）</w:t>
      </w:r>
      <w:bookmarkEnd w:id="0"/>
    </w:p>
    <w:bookmarkEnd w:id="1"/>
    <w:tbl>
      <w:tblPr>
        <w:tblStyle w:val="4"/>
        <w:tblW w:w="852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13" w:type="dxa"/>
          <w:bottom w:w="0" w:type="dxa"/>
          <w:right w:w="113" w:type="dxa"/>
        </w:tblCellMar>
      </w:tblPr>
      <w:tblGrid>
        <w:gridCol w:w="391"/>
        <w:gridCol w:w="434"/>
        <w:gridCol w:w="2304"/>
        <w:gridCol w:w="1257"/>
        <w:gridCol w:w="2073"/>
        <w:gridCol w:w="2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323" w:hRule="atLeast"/>
          <w:tblHeader/>
          <w:jc w:val="center"/>
        </w:trPr>
        <w:tc>
          <w:tcPr>
            <w:tcW w:w="391" w:type="dxa"/>
            <w:vAlign w:val="top"/>
          </w:tcPr>
          <w:p>
            <w:pPr>
              <w:pStyle w:val="5"/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pStyle w:val="5"/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序号</w:t>
            </w:r>
          </w:p>
        </w:tc>
        <w:tc>
          <w:tcPr>
            <w:tcW w:w="2304" w:type="dxa"/>
            <w:vAlign w:val="center"/>
          </w:tcPr>
          <w:p>
            <w:pPr>
              <w:pStyle w:val="5"/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257" w:type="dxa"/>
            <w:vAlign w:val="center"/>
          </w:tcPr>
          <w:p>
            <w:pPr>
              <w:pStyle w:val="5"/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实施机关</w:t>
            </w:r>
          </w:p>
        </w:tc>
        <w:tc>
          <w:tcPr>
            <w:tcW w:w="2073" w:type="dxa"/>
            <w:vAlign w:val="center"/>
          </w:tcPr>
          <w:p>
            <w:pPr>
              <w:pStyle w:val="5"/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设定依据</w:t>
            </w:r>
          </w:p>
        </w:tc>
        <w:tc>
          <w:tcPr>
            <w:tcW w:w="2069" w:type="dxa"/>
            <w:vAlign w:val="center"/>
          </w:tcPr>
          <w:p>
            <w:pPr>
              <w:pStyle w:val="5"/>
              <w:adjustRightInd w:val="0"/>
              <w:snapToGrid w:val="0"/>
              <w:spacing w:line="340" w:lineRule="exact"/>
              <w:jc w:val="center"/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1157" w:hRule="atLeast"/>
          <w:jc w:val="center"/>
        </w:trPr>
        <w:tc>
          <w:tcPr>
            <w:tcW w:w="391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律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明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确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的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工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登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记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前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置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批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事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项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目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录</w:t>
            </w:r>
          </w:p>
        </w:tc>
        <w:tc>
          <w:tcPr>
            <w:tcW w:w="43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304" w:type="dxa"/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证券公司设立审批</w:t>
            </w:r>
          </w:p>
        </w:tc>
        <w:tc>
          <w:tcPr>
            <w:tcW w:w="125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证监会</w:t>
            </w:r>
          </w:p>
        </w:tc>
        <w:tc>
          <w:tcPr>
            <w:tcW w:w="207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《中华人民共和国证券法》</w:t>
            </w:r>
          </w:p>
        </w:tc>
        <w:tc>
          <w:tcPr>
            <w:tcW w:w="206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1643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numPr>
                <w:ilvl w:val="0"/>
                <w:numId w:val="1"/>
              </w:num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2304" w:type="dxa"/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hint="eastAsia"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仿宋_GB2312"/>
                <w:sz w:val="20"/>
                <w:szCs w:val="20"/>
              </w:rPr>
              <w:t>烟草专卖生产企业许可证核发</w:t>
            </w:r>
          </w:p>
        </w:tc>
        <w:tc>
          <w:tcPr>
            <w:tcW w:w="1257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hint="eastAsia"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国家烟草专卖局</w:t>
            </w:r>
          </w:p>
        </w:tc>
        <w:tc>
          <w:tcPr>
            <w:tcW w:w="2073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hint="eastAsia"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《中华人民共和国烟草专卖法》</w:t>
            </w: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hint="eastAsia"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《中华人民共和国烟草专卖法实施条例》（国务院令第223号）</w:t>
            </w:r>
            <w:r>
              <w:rPr>
                <w:rFonts w:ascii="宋体" w:hAnsi="宋体" w:eastAsia="宋体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69" w:type="dxa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hint="eastAsia" w:ascii="宋体" w:hAnsi="宋体" w:eastAsia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960" w:hRule="atLeast"/>
          <w:jc w:val="center"/>
        </w:trPr>
        <w:tc>
          <w:tcPr>
            <w:tcW w:w="391" w:type="dxa"/>
            <w:vMerge w:val="continue"/>
            <w:shd w:val="clear" w:color="auto" w:fill="auto"/>
            <w:vAlign w:val="top"/>
          </w:tcPr>
          <w:p>
            <w:pPr>
              <w:spacing w:line="360" w:lineRule="exact"/>
              <w:ind w:left="420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spacing w:line="360" w:lineRule="exac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304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hint="eastAsia"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仿宋_GB2312"/>
                <w:sz w:val="20"/>
                <w:szCs w:val="20"/>
              </w:rPr>
              <w:t>烟草专卖批发企业许可证核发</w:t>
            </w:r>
          </w:p>
        </w:tc>
        <w:tc>
          <w:tcPr>
            <w:tcW w:w="1257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hint="eastAsia"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国家烟草专卖局或省级烟草专卖行政主管部门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hint="eastAsia"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《中华人民共和国烟草专卖法》</w:t>
            </w: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</w:rPr>
              <w:t>《烟草专卖法实施条例》（国务院令第223号）</w:t>
            </w:r>
          </w:p>
          <w:p>
            <w:pPr>
              <w:adjustRightInd w:val="0"/>
              <w:snapToGrid w:val="0"/>
              <w:spacing w:line="340" w:lineRule="exact"/>
              <w:jc w:val="left"/>
              <w:rPr>
                <w:rFonts w:hint="eastAsia"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069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960" w:hRule="atLeast"/>
          <w:jc w:val="center"/>
        </w:trPr>
        <w:tc>
          <w:tcPr>
            <w:tcW w:w="391" w:type="dxa"/>
            <w:vMerge w:val="continue"/>
            <w:shd w:val="clear" w:color="auto" w:fill="auto"/>
            <w:vAlign w:val="top"/>
          </w:tcPr>
          <w:p>
            <w:pPr>
              <w:spacing w:line="360" w:lineRule="exact"/>
              <w:ind w:left="420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2304" w:type="dxa"/>
            <w:shd w:val="clear" w:color="auto" w:fill="auto"/>
            <w:vAlign w:val="center"/>
          </w:tcPr>
          <w:p>
            <w:pPr>
              <w:widowControl/>
              <w:spacing w:line="34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通用航空企业经营许可</w:t>
            </w:r>
          </w:p>
        </w:tc>
        <w:tc>
          <w:tcPr>
            <w:tcW w:w="1257" w:type="dxa"/>
            <w:shd w:val="clear" w:color="auto" w:fill="auto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民航地区管理局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《中华人民共和国民用航空法》《国务院关于第六批决定取消和调整行政审批项目的决定》（国发〔2012〕52号）</w:t>
            </w:r>
          </w:p>
        </w:tc>
        <w:tc>
          <w:tcPr>
            <w:tcW w:w="2069" w:type="dxa"/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960" w:hRule="atLeast"/>
          <w:jc w:val="center"/>
        </w:trPr>
        <w:tc>
          <w:tcPr>
            <w:tcW w:w="391" w:type="dxa"/>
            <w:vMerge w:val="continue"/>
            <w:shd w:val="clear" w:color="auto" w:fill="auto"/>
            <w:vAlign w:val="top"/>
          </w:tcPr>
          <w:p>
            <w:pPr>
              <w:spacing w:line="360" w:lineRule="exact"/>
              <w:ind w:left="420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2304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hint="eastAsia" w:ascii="宋体" w:hAnsi="宋体" w:eastAsia="宋体" w:cs="仿宋_GB23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营利性民办学校(营利性民办培训机构)办学许可</w:t>
            </w:r>
          </w:p>
        </w:tc>
        <w:tc>
          <w:tcPr>
            <w:tcW w:w="1257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hint="eastAsia"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县级以上人民政府教育行政部门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、县级以上人民政府劳动和社会保障行政部门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hint="eastAsia" w:ascii="宋体" w:hAnsi="宋体" w:eastAsia="宋体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《中华人民共和国民办教育促进法》</w:t>
            </w:r>
          </w:p>
        </w:tc>
        <w:tc>
          <w:tcPr>
            <w:tcW w:w="2069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ind w:left="99" w:leftChars="31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国务 院决定保留的工商登记前置审批事项目录</w:t>
            </w: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国务院决定保留的工商登记前置审批事项目录</w:t>
            </w: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民用爆炸物品生产许可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工业和信息化部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《民用爆炸物品安全管理条例》（国务院令第466号）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爆破作业单位许可证核发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省级、设区的市级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人民政府公安机关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《民用爆炸物品安全管理条例》（国务院令第466号）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民用枪支（弹药）制造、配售许可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公安部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、省级人民政府公安机关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《中华人民共和国枪支管理法》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1625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制造、销售弩或营业性射击场开设弩射项目审批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省级人民政府公安机关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《国务院对确需保留的行政审批项目设定行政许可的决定》（国务院令第412号）《公安部国家工商行政管理局关于加强弩管理的通知》（公治〔1999〕1646号）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保安服务许可证核发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省级人民政府公安机关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《保安服务管理条例》（国务院令第564号）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1373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2304" w:type="dxa"/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涉及国家规定实施准入特别管理措施的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外商投资企业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的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设立及变更审批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商务部、国务院授权的部门或地方人民政府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《中华人民共和国中外合资经营企业法》《中华人民共和国中外合作经营企业法》《中华人民共和国台湾同胞投资保护法》《中华人民共和国外资企业法》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设立经营个人征信业务的征信机构审批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中国人民银行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《征信业管理条例》（国务院令第631号）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卫星电视广播地面接收设施安装许可审批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新闻出版广电总局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《卫星电视广播地面接收设施管理规定》（国务院令第129号）《关于进一步加强卫星电视广播地面接收设施管理的意见》（广发外字〔2002〕254号）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设立出版物进口经营单位审批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新闻出版广电总局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《出版管理条例》（国务院令第594号）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设立出版单位审批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新闻出版广电总局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《出版管理条例》（国务院令第594号）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境外出版机构在境内设立办事机构审批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新闻出版广电总局</w:t>
            </w:r>
          </w:p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国务院新闻办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《国务院对确需保留的行政审批项目设定行政许可的决定》（国务院令第412号）《外国企业常驻代表机构登记管理条例》（国务院令第584号）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12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境外广播电影电视机构在华设立办事机构审批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新闻出版广电总局</w:t>
            </w:r>
          </w:p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国务院新闻办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《国务院对确需保留的行政审批项目设定行政许可的决定》（国务院令第412号）《外国企业常驻代表机构登记管理条例》（国务院令第584号）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13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危险化学品经营许可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县级、设区的市级人民政府安全生产监督管理部门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《危险化学品安全管理条例》（国务院令第591号）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14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新建、改建、扩建生产、储存危险化学品（包括使用长输管道输送危险化学品）建设项目安全条件审查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；新建、改建、扩建储存、装卸危险化学品的港口建设项目安全条件审查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设区的市级以上人民政府安全生产监督管理部门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；港口行政管理部门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《危险化学品安全管理条例》（国务院令第591号）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烟花爆竹生产企业安全生产许可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省级人民政府安全生产监督管理部门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《烟花爆竹安全管理条例》（国务院令第455号）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16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外资银行营业性机构及其分支机构设立审批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银监会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《中华人民共和国银行业监督管理法》《外资银行管理条例》（国务院令第478号）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17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外国银行代表处设立审批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银监会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《中华人民共和国银行业监督管理法》《外资银行管理条例》（国务院令第478号）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18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中资银行业金融机构及其分支机构设立审批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银监会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《中华人民共和国银行业监督管理法》《中华人民共和国商业银行法》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19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非银行金融机构（分支机构）设立审批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银监会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《中华人民共和国银行业监督管理法》《金融资产管理公司条例》（国务院令第297号）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融资性担保机构设立审批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省级人民政府确定的部门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国务院对确需保留的行政审批项目设定行政许可的决定》（国务院令第412号）《国务院关于修改〈国务院对确需保留的行政审批项目设定行政许可的决定〉的决定》（国务院令第548号）《融资性担保公司管理暂行办法》（银监会令2010年第3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21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外国证券类机构设立驻华代表机构核准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证监会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《国务院对确需保留的行政审批项目设定行政许可的决定》（国务院令第412号）《国务院关于管理外国企业常驻代表机构的暂行规定》（国发〔1980〕272号）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22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设立期货专门结算机构审批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证监会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《期货交易管理条例》（国务院令第627号）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23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设立期货交易场所审批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国务院或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证监会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《期货交易管理条例》（国务院令第627号）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24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证券交易所设立审核、证券登记结算机构设立审批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国务院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《中华人民共和国证券法》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25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专属自保组织和相互保险组织设立审批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保监会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《国务院对确需保留的行政审批项目设定行政许可的决定》（国务院令第412号）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26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保险公司及其分支机构设立审批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保监会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《中华人民共和国保险法》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84" w:hRule="atLeast"/>
          <w:jc w:val="center"/>
        </w:trPr>
        <w:tc>
          <w:tcPr>
            <w:tcW w:w="391" w:type="dxa"/>
            <w:vMerge w:val="continue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27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外国保险机构驻华代表机构设立审批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保监会</w:t>
            </w:r>
          </w:p>
        </w:tc>
        <w:tc>
          <w:tcPr>
            <w:tcW w:w="2073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《中华人民共和国保险法》《国务院对确需保留的行政审批项目设定行政许可的决定》（国务院令第412号）《国务院关于管理外国企业常驻代表机构的暂行规定》（国发〔1980〕272号）</w:t>
            </w:r>
          </w:p>
        </w:tc>
        <w:tc>
          <w:tcPr>
            <w:tcW w:w="2069" w:type="dxa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1000" w:hRule="atLeast"/>
          <w:jc w:val="center"/>
        </w:trPr>
        <w:tc>
          <w:tcPr>
            <w:tcW w:w="391" w:type="dxa"/>
            <w:vMerge w:val="continue"/>
            <w:shd w:val="clear" w:color="auto" w:fill="auto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28</w:t>
            </w:r>
          </w:p>
        </w:tc>
        <w:tc>
          <w:tcPr>
            <w:tcW w:w="2304" w:type="dxa"/>
            <w:shd w:val="clear" w:color="auto" w:fill="auto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快递业务经营许可</w:t>
            </w:r>
          </w:p>
        </w:tc>
        <w:tc>
          <w:tcPr>
            <w:tcW w:w="1257" w:type="dxa"/>
            <w:shd w:val="clear" w:color="auto" w:fill="auto"/>
            <w:vAlign w:val="center"/>
          </w:tcPr>
          <w:p>
            <w:pPr>
              <w:widowControl/>
              <w:spacing w:line="340" w:lineRule="exac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国家邮政局或省级邮政管理机构</w:t>
            </w:r>
          </w:p>
        </w:tc>
        <w:tc>
          <w:tcPr>
            <w:tcW w:w="2073" w:type="dxa"/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《中华人民共和国邮政法》</w:t>
            </w:r>
          </w:p>
        </w:tc>
        <w:tc>
          <w:tcPr>
            <w:tcW w:w="2069" w:type="dxa"/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4</w:t>
    </w:r>
    <w: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8E5A5A"/>
    <w:rsid w:val="678E5A5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18"/>
      <w:szCs w:val="18"/>
    </w:rPr>
  </w:style>
  <w:style w:type="paragraph" w:customStyle="1" w:styleId="5">
    <w:name w:val="正文 New"/>
    <w:basedOn w:val="1"/>
    <w:uiPriority w:val="0"/>
    <w:pPr>
      <w:spacing w:line="240" w:lineRule="atLeast"/>
    </w:pPr>
    <w:rPr>
      <w:rFonts w:ascii="Times New Roman" w:hAnsi="Times New Roman" w:eastAsia="宋体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2017-09-01T01:38:00Z</dcterms:created>
  <dc:creator>User</dc:creator>
  <cp:lastModifiedBy>User</cp:lastModifiedBy>
  <dcterms:modified xsi:type="dcterms:W3CDTF">2017-09-01T01:39:30Z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