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B69" w:rsidRPr="006143CC" w:rsidRDefault="00D34B69" w:rsidP="00D34B69">
      <w:pPr>
        <w:widowControl/>
        <w:spacing w:before="100" w:beforeAutospacing="1" w:after="100" w:afterAutospacing="1" w:line="480" w:lineRule="exact"/>
        <w:ind w:leftChars="-222" w:left="-708" w:rightChars="-237" w:right="-758" w:hanging="2"/>
        <w:rPr>
          <w:rFonts w:ascii="黑体" w:eastAsia="黑体" w:hAnsi="宋体" w:hint="eastAsia"/>
          <w:bCs/>
          <w:color w:val="auto"/>
          <w:szCs w:val="36"/>
        </w:rPr>
      </w:pPr>
      <w:r w:rsidRPr="006143CC">
        <w:rPr>
          <w:rFonts w:ascii="黑体" w:eastAsia="黑体" w:hAnsi="宋体" w:hint="eastAsia"/>
          <w:bCs/>
          <w:color w:val="auto"/>
          <w:szCs w:val="36"/>
        </w:rPr>
        <w:t>附件1</w:t>
      </w:r>
    </w:p>
    <w:p w:rsidR="00D34B69" w:rsidRPr="006143CC" w:rsidRDefault="00D34B69" w:rsidP="00D34B69">
      <w:pPr>
        <w:widowControl/>
        <w:spacing w:line="480" w:lineRule="exact"/>
        <w:ind w:leftChars="-222" w:left="-708" w:rightChars="-237" w:right="-758" w:hanging="2"/>
        <w:jc w:val="center"/>
        <w:rPr>
          <w:rFonts w:ascii="方正小标宋简体" w:eastAsia="方正小标宋简体" w:hAnsi="宋体" w:hint="eastAsia"/>
          <w:bCs/>
          <w:color w:val="auto"/>
          <w:sz w:val="36"/>
          <w:szCs w:val="36"/>
        </w:rPr>
      </w:pPr>
      <w:bookmarkStart w:id="0" w:name="_GoBack"/>
      <w:r w:rsidRPr="006143CC">
        <w:rPr>
          <w:rFonts w:ascii="方正小标宋简体" w:eastAsia="方正小标宋简体" w:hAnsi="宋体" w:hint="eastAsia"/>
          <w:bCs/>
          <w:color w:val="auto"/>
          <w:sz w:val="36"/>
          <w:szCs w:val="36"/>
        </w:rPr>
        <w:t>工商登记前置审批事项目录</w:t>
      </w:r>
    </w:p>
    <w:bookmarkEnd w:id="0"/>
    <w:p w:rsidR="00D34B69" w:rsidRPr="006143CC" w:rsidRDefault="00D34B69" w:rsidP="00D34B69">
      <w:pPr>
        <w:spacing w:line="480" w:lineRule="exact"/>
        <w:ind w:leftChars="-222" w:left="-708" w:rightChars="-237" w:right="-758" w:hanging="2"/>
        <w:jc w:val="center"/>
        <w:rPr>
          <w:rFonts w:ascii="方正小标宋简体" w:eastAsia="方正小标宋简体" w:hAnsi="宋体" w:hint="eastAsia"/>
          <w:bCs/>
          <w:color w:val="auto"/>
          <w:sz w:val="36"/>
          <w:szCs w:val="36"/>
        </w:rPr>
      </w:pPr>
      <w:r w:rsidRPr="006143CC">
        <w:rPr>
          <w:rFonts w:hAnsi="仿宋_GB2312" w:cs="Times New Roman" w:hint="eastAsia"/>
          <w:color w:val="auto"/>
          <w:kern w:val="2"/>
        </w:rPr>
        <w:t>（2018年3月）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598"/>
        <w:gridCol w:w="663"/>
        <w:gridCol w:w="3203"/>
        <w:gridCol w:w="1843"/>
        <w:gridCol w:w="3561"/>
      </w:tblGrid>
      <w:tr w:rsidR="00D34B69" w:rsidRPr="006143CC" w:rsidTr="00BE70F4">
        <w:trPr>
          <w:trHeight w:val="323"/>
          <w:tblHeader/>
          <w:jc w:val="center"/>
        </w:trPr>
        <w:tc>
          <w:tcPr>
            <w:tcW w:w="598" w:type="dxa"/>
          </w:tcPr>
          <w:p w:rsidR="00D34B69" w:rsidRPr="006143CC" w:rsidRDefault="00D34B69" w:rsidP="00BE70F4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hint="eastAsia"/>
                <w:b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b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b/>
                <w:color w:val="auto"/>
                <w:sz w:val="20"/>
                <w:szCs w:val="20"/>
              </w:rPr>
              <w:t>序号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jc w:val="center"/>
              <w:rPr>
                <w:rFonts w:ascii="宋体" w:eastAsia="宋体" w:hAnsi="宋体"/>
                <w:b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b/>
                <w:color w:val="auto"/>
                <w:sz w:val="20"/>
                <w:szCs w:val="20"/>
              </w:rPr>
              <w:t>项目名称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jc w:val="center"/>
              <w:rPr>
                <w:rFonts w:ascii="宋体" w:eastAsia="宋体" w:hAnsi="宋体"/>
                <w:b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b/>
                <w:color w:val="auto"/>
                <w:sz w:val="20"/>
                <w:szCs w:val="20"/>
              </w:rPr>
              <w:t>实施机关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jc w:val="center"/>
              <w:rPr>
                <w:rFonts w:ascii="宋体" w:eastAsia="宋体" w:hAnsi="宋体"/>
                <w:b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b/>
                <w:color w:val="auto"/>
                <w:sz w:val="20"/>
                <w:szCs w:val="20"/>
              </w:rPr>
              <w:t>设定依据</w:t>
            </w:r>
          </w:p>
        </w:tc>
      </w:tr>
      <w:tr w:rsidR="00D34B69" w:rsidRPr="006143CC" w:rsidTr="00BE70F4">
        <w:trPr>
          <w:trHeight w:val="1157"/>
          <w:jc w:val="center"/>
        </w:trPr>
        <w:tc>
          <w:tcPr>
            <w:tcW w:w="598" w:type="dxa"/>
            <w:vMerge w:val="restart"/>
            <w:vAlign w:val="center"/>
          </w:tcPr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法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律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明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确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的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工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商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登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记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前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置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审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批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事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项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目</w:t>
            </w:r>
          </w:p>
          <w:p w:rsidR="00D34B69" w:rsidRPr="006143CC" w:rsidRDefault="00D34B69" w:rsidP="00BE70F4">
            <w:pPr>
              <w:spacing w:line="28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录</w:t>
            </w: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1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证券公司设立审批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证监会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jc w:val="lef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《中华人民共和国证券法》</w:t>
            </w:r>
          </w:p>
        </w:tc>
      </w:tr>
      <w:tr w:rsidR="00D34B69" w:rsidRPr="006143CC" w:rsidTr="00BE70F4">
        <w:trPr>
          <w:trHeight w:val="1643"/>
          <w:jc w:val="center"/>
        </w:trPr>
        <w:tc>
          <w:tcPr>
            <w:tcW w:w="598" w:type="dxa"/>
            <w:vMerge/>
          </w:tcPr>
          <w:p w:rsidR="00D34B69" w:rsidRPr="006143CC" w:rsidRDefault="00D34B69" w:rsidP="00D34B69">
            <w:pPr>
              <w:numPr>
                <w:ilvl w:val="0"/>
                <w:numId w:val="1"/>
              </w:numPr>
              <w:tabs>
                <w:tab w:val="num" w:pos="420"/>
              </w:tabs>
              <w:spacing w:line="360" w:lineRule="exact"/>
              <w:ind w:left="420" w:hanging="420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</w:pPr>
            <w:r w:rsidRPr="006143CC">
              <w:rPr>
                <w:rFonts w:ascii="宋体" w:eastAsia="宋体" w:hAnsi="宋体" w:cs="仿宋_GB2312" w:hint="eastAsia"/>
                <w:color w:val="auto"/>
                <w:kern w:val="2"/>
                <w:sz w:val="20"/>
                <w:szCs w:val="20"/>
              </w:rPr>
              <w:t>烟草专卖生产企业许可证核发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jc w:val="center"/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</w:pPr>
            <w:r w:rsidRPr="006143CC"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  <w:t>国家烟草专卖局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jc w:val="left"/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</w:pPr>
            <w:r w:rsidRPr="006143CC"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  <w:t>《中华人民共和国烟草专卖法》</w:t>
            </w:r>
          </w:p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jc w:val="left"/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</w:pPr>
            <w:r w:rsidRPr="006143CC"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  <w:t>《中华人民共和国烟草专卖法实施条例》（国务院令第223号）</w:t>
            </w:r>
            <w:r w:rsidRPr="006143CC">
              <w:rPr>
                <w:rFonts w:ascii="宋体" w:eastAsia="宋体" w:hAnsi="宋体" w:cs="Calibri"/>
                <w:kern w:val="2"/>
                <w:sz w:val="20"/>
                <w:szCs w:val="20"/>
              </w:rPr>
              <w:t> </w:t>
            </w:r>
          </w:p>
        </w:tc>
      </w:tr>
      <w:tr w:rsidR="00D34B69" w:rsidRPr="006143CC" w:rsidTr="00BE70F4">
        <w:trPr>
          <w:trHeight w:val="960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spacing w:line="360" w:lineRule="exact"/>
              <w:ind w:left="420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spacing w:line="360" w:lineRule="exact"/>
              <w:jc w:val="center"/>
              <w:rPr>
                <w:rFonts w:ascii="宋体" w:eastAsia="宋体" w:hAnsi="宋体"/>
                <w:b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3</w:t>
            </w:r>
          </w:p>
          <w:p w:rsidR="00D34B69" w:rsidRPr="006143CC" w:rsidRDefault="00D34B69" w:rsidP="00BE70F4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</w:pPr>
            <w:r w:rsidRPr="006143CC">
              <w:rPr>
                <w:rFonts w:ascii="宋体" w:eastAsia="宋体" w:hAnsi="宋体" w:cs="仿宋_GB2312" w:hint="eastAsia"/>
                <w:color w:val="auto"/>
                <w:kern w:val="2"/>
                <w:sz w:val="20"/>
                <w:szCs w:val="20"/>
              </w:rPr>
              <w:t>烟草专卖批发企业许可证核发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</w:pPr>
            <w:r w:rsidRPr="006143CC"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  <w:t>国家烟草专卖局或省级烟草专卖行政主管部门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jc w:val="left"/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</w:pPr>
            <w:r w:rsidRPr="006143CC"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  <w:t>《中华人民共和国烟草专卖法》</w:t>
            </w:r>
          </w:p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jc w:val="left"/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</w:pPr>
            <w:r w:rsidRPr="006143CC">
              <w:rPr>
                <w:rFonts w:ascii="宋体" w:eastAsia="宋体" w:hAnsi="宋体" w:cs="Times New Roman" w:hint="eastAsia"/>
                <w:kern w:val="2"/>
                <w:sz w:val="20"/>
                <w:szCs w:val="20"/>
              </w:rPr>
              <w:t>《烟草专卖法实施条例》（国务院令第223号）</w:t>
            </w:r>
          </w:p>
        </w:tc>
      </w:tr>
      <w:tr w:rsidR="00D34B69" w:rsidRPr="006143CC" w:rsidTr="00BE70F4">
        <w:trPr>
          <w:trHeight w:val="1497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spacing w:line="360" w:lineRule="exact"/>
              <w:ind w:left="420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4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营利性民办学校(营利性民办培训机构)办学许可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县级以上人民政府教育行政部门</w:t>
            </w: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、县级以上人民政府劳动和社会保障行政部门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《中华人民共和国民办教育促进法》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 w:val="restart"/>
            <w:vAlign w:val="center"/>
          </w:tcPr>
          <w:p w:rsidR="00D34B69" w:rsidRPr="006143CC" w:rsidRDefault="00D34B69" w:rsidP="00BE70F4">
            <w:pPr>
              <w:widowControl/>
              <w:spacing w:line="260" w:lineRule="exac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国务 院决定保留的工商登记前置审批事项目录</w:t>
            </w: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D34B69">
            <w:pPr>
              <w:widowControl/>
              <w:spacing w:line="260" w:lineRule="exact"/>
              <w:ind w:leftChars="31" w:left="99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国务 院决定保留的工商登记前置审批事项目录</w:t>
            </w: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</w:p>
          <w:p w:rsidR="00D34B69" w:rsidRPr="006143CC" w:rsidRDefault="00D34B69" w:rsidP="00BE70F4">
            <w:pPr>
              <w:widowControl/>
              <w:spacing w:line="2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国务院决定保留的工商登记前置审批事项目录</w:t>
            </w: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民用爆炸物品生产许可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工业和信息化部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《民用爆炸物品安全管理条例》（国务院令第466号）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2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爆破作业单位许可证核发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省级、设区的市级</w:t>
            </w: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人民政府公安机关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《民用爆炸物品安全管理条例》（国务院令第466号）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3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民用枪支（弹药）制造、配售许可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公安部</w:t>
            </w: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、省级人民政府公安机关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《中华人民共和国枪支管理法》</w:t>
            </w:r>
          </w:p>
        </w:tc>
      </w:tr>
      <w:tr w:rsidR="00D34B69" w:rsidRPr="006143CC" w:rsidTr="00BE70F4">
        <w:trPr>
          <w:trHeight w:val="1625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4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制造、销售弩或营业性射击场开设弩</w:t>
            </w:r>
            <w:proofErr w:type="gramStart"/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射项目</w:t>
            </w:r>
            <w:proofErr w:type="gramEnd"/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省级人民政府公安机关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《国务院对确需保留的行政审批项目设定行政许可的决定》（国务院令第412号）《公安部国家工商行政管理局关于加强弩管理的通知》（公治〔1999〕1646号）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5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保安服务许可证核发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省级人民政府公安机关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《保安服务管理条例》（国务院令第564号）</w:t>
            </w:r>
          </w:p>
        </w:tc>
      </w:tr>
      <w:tr w:rsidR="00D34B69" w:rsidRPr="006143CC" w:rsidTr="00BE70F4">
        <w:trPr>
          <w:trHeight w:val="1373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6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adjustRightInd w:val="0"/>
              <w:snapToGrid w:val="0"/>
              <w:spacing w:line="340" w:lineRule="exac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涉及国家规定实施准入特别管理措施的</w:t>
            </w: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外商投资企业</w:t>
            </w: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的</w:t>
            </w: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设立及变更审批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商务部、国务院授权的部门或地方人民政府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《中华人民共和国中外合资经营企业法》《中华人民共和国中外合作经营企业法》《中华人民共和国台湾同胞投资保护法》《中华人民共和国外资企业法》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7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设立经营个人征信业务的征信机构审批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中国人民银行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《征信业管理条例》（国务院令第631号）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8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卫星电视广播地面接收设施安装许可审批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新闻出版广电总局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《卫星电视广播地面接收设施管理规定》（国务院令第129号）《关于进一步加强卫星电视广播地面接收设施管理的意见》（广发外字〔2002〕254号）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9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设立出版物进口经营单位审批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新闻出版广电总局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《出版管理条例》（国务院令第594号）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1</w:t>
            </w: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0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设立出版单位审批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新闻出版广电总局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《出版管理条例》（国务院令第594号）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11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境外出版机构在境内设立办事机构审批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新闻出版广电总局</w:t>
            </w:r>
          </w:p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国务院新闻办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《国务院对确需保留的行政审批项目设定行政许可的决定》（国务院令第412号）《外国企业常驻代表机构登记管理条例》（国务院令第584号）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12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境外广播电影电视机构在华设立办事机构审批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新闻出版广电总局</w:t>
            </w:r>
          </w:p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国务院新闻办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《国务院对确需保留的行政审批项目设定行政许可的决定》（国务院令第412号）《外国企业常驻代表机构登记管理条例》（国务院令第584号）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13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危险化学品经营许可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县级、设区的市级人民政府安全生产监督管理部门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《危险化学品安全管理条例》（国务院令第591号）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14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新建、改建、扩建生产、储存危险化学品（包括使用长输管道输送危险化学品）建设项目安全条件审查</w:t>
            </w:r>
            <w:r w:rsidRPr="006143CC">
              <w:rPr>
                <w:rFonts w:ascii="宋体" w:eastAsia="宋体" w:hAnsi="宋体" w:hint="eastAsia"/>
                <w:sz w:val="20"/>
                <w:szCs w:val="20"/>
              </w:rPr>
              <w:t>；新建、改建、扩建储存、装卸危险化学品的港口建设项目安全条件审查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设区的市级以上人民政府安全生产监督管理部门</w:t>
            </w: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；港口行政管理部门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《危险化学品安全管理条例》（国务院令第591号）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15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烟花爆竹生产企业安全生产许可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省级人民政府安全生产监督管理部门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《烟花爆竹安全管理条例》（国务院令第455号）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16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外资银行营业性机构及其分支机构设立审批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银监会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《中华人民共和国银行业监督管理法》《外资银行管理条例》（国务院令第478号）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17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外国银行代表处设立审批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银监会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《中华人民共和国银行业监督管理法》《外资银行管理条例》（国务院令第478号）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18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中资银行业金融机构及其分支机构设立审批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银监会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《中华人民共和国银行业监督管理法》《中华人民共和国商业银行法》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19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非银行金融机构（分支机构）设立审批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银监会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《中华人民共和国银行业监督管理法》《金融资产管理公司条例》（国务院令第297号）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20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融资性担保机构设立审批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省级人民政府确定的部门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国务院对确需保留的行政审批项目设定行政许可的决定》（国务院令第412号）《国务院关于修改〈国务院对确需保留的行政审批项目设定行政许可的决定〉的决定》（国务院令第548号）《融资性担保公司管理暂行办法》（银监会令2010年第3号）</w:t>
            </w: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《融资担保公司监督管理条例》（国务院令第683号）</w:t>
            </w:r>
          </w:p>
        </w:tc>
      </w:tr>
      <w:tr w:rsidR="00D34B69" w:rsidRPr="006143CC" w:rsidTr="00BE70F4">
        <w:trPr>
          <w:trHeight w:val="1363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21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外国证券类机构设立驻华代表机构核准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证监会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《国务院对确需保留的行政审批项目设定行政许可的决定》（国务院令第412号）《国务院关于管理外国企业常驻代表机构的暂行规定》（国发〔1980〕272号）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22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设立期货专门结算机构审批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证监会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《期货交易管理条例》（国务院令第627号）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23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设立期货交易场所审批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国务院或</w:t>
            </w: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证监会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《期货交易管理条例》（国务院令第627号）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24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证券交易所设立审核、证券登记结算机构设立审批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国务院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《中华人民共和国证券法》</w:t>
            </w:r>
          </w:p>
        </w:tc>
      </w:tr>
      <w:tr w:rsidR="00D34B69" w:rsidRPr="006143CC" w:rsidTr="00BE70F4">
        <w:trPr>
          <w:trHeight w:val="992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25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专属自保组织和相互保险组织设立审批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保监会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《国务院对确需保留的行政审批项目设定行政许可的决定》（国务院令第412号）</w:t>
            </w:r>
          </w:p>
        </w:tc>
      </w:tr>
      <w:tr w:rsidR="00D34B69" w:rsidRPr="006143CC" w:rsidTr="00BE70F4">
        <w:trPr>
          <w:trHeight w:val="484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26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保险公司及其分支机构设立审批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保监会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《中华人民共和国保险法》</w:t>
            </w:r>
          </w:p>
        </w:tc>
      </w:tr>
      <w:tr w:rsidR="00D34B69" w:rsidRPr="006143CC" w:rsidTr="00BE70F4">
        <w:trPr>
          <w:trHeight w:val="1723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27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外国保险机构驻华代表机构设立审批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center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保监会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《中华人民共和国保险法》《国务院对确需保留的行政审批项目设定行政许可的决定》（国务院令第412号）《国务院关于管理外国企业常驻代表机构的暂行规定》（国发〔1980〕272号）</w:t>
            </w:r>
          </w:p>
        </w:tc>
      </w:tr>
      <w:tr w:rsidR="00D34B69" w:rsidRPr="006143CC" w:rsidTr="00BE70F4">
        <w:trPr>
          <w:trHeight w:val="1000"/>
          <w:jc w:val="center"/>
        </w:trPr>
        <w:tc>
          <w:tcPr>
            <w:tcW w:w="598" w:type="dxa"/>
            <w:vMerge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D34B69" w:rsidRPr="006143CC" w:rsidRDefault="00D34B69" w:rsidP="00BE70F4">
            <w:pPr>
              <w:widowControl/>
              <w:spacing w:line="360" w:lineRule="exact"/>
              <w:jc w:val="center"/>
              <w:rPr>
                <w:rFonts w:ascii="宋体" w:eastAsia="宋体" w:hAnsi="宋体" w:hint="eastAsia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28</w:t>
            </w:r>
          </w:p>
        </w:tc>
        <w:tc>
          <w:tcPr>
            <w:tcW w:w="320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快递业务经营许可</w:t>
            </w:r>
          </w:p>
        </w:tc>
        <w:tc>
          <w:tcPr>
            <w:tcW w:w="1843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国家邮政局或省级邮政管理机构</w:t>
            </w:r>
          </w:p>
        </w:tc>
        <w:tc>
          <w:tcPr>
            <w:tcW w:w="3561" w:type="dxa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jc w:val="left"/>
              <w:rPr>
                <w:rFonts w:ascii="宋体" w:eastAsia="宋体" w:hAnsi="宋体"/>
                <w:color w:val="auto"/>
                <w:sz w:val="24"/>
                <w:szCs w:val="24"/>
              </w:rPr>
            </w:pP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《中华人民共和国邮政法》</w:t>
            </w:r>
          </w:p>
        </w:tc>
      </w:tr>
      <w:tr w:rsidR="00D34B69" w:rsidRPr="006143CC" w:rsidTr="00BE70F4">
        <w:trPr>
          <w:trHeight w:val="1000"/>
          <w:jc w:val="center"/>
        </w:trPr>
        <w:tc>
          <w:tcPr>
            <w:tcW w:w="9868" w:type="dxa"/>
            <w:gridSpan w:val="5"/>
            <w:vAlign w:val="center"/>
          </w:tcPr>
          <w:p w:rsidR="00D34B69" w:rsidRPr="006143CC" w:rsidRDefault="00D34B69" w:rsidP="00BE70F4">
            <w:pPr>
              <w:widowControl/>
              <w:spacing w:line="340" w:lineRule="exact"/>
              <w:rPr>
                <w:rFonts w:ascii="宋体" w:eastAsia="宋体" w:hAnsi="宋体" w:hint="eastAsia"/>
                <w:color w:val="auto"/>
                <w:sz w:val="20"/>
                <w:szCs w:val="20"/>
              </w:rPr>
            </w:pP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注：根据国务院《融资担保公司监督管理条例》（国务院令第683号）相关要求，省外法人</w:t>
            </w: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融资性担保</w:t>
            </w: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公司在省内</w:t>
            </w:r>
            <w:r w:rsidRPr="006143CC">
              <w:rPr>
                <w:rFonts w:ascii="宋体" w:eastAsia="宋体" w:hAnsi="宋体"/>
                <w:color w:val="auto"/>
                <w:sz w:val="20"/>
                <w:szCs w:val="20"/>
              </w:rPr>
              <w:t>设立</w:t>
            </w:r>
            <w:r w:rsidRPr="006143CC">
              <w:rPr>
                <w:rFonts w:ascii="宋体" w:eastAsia="宋体" w:hAnsi="宋体" w:hint="eastAsia"/>
                <w:color w:val="auto"/>
                <w:sz w:val="20"/>
                <w:szCs w:val="20"/>
              </w:rPr>
              <w:t>分支机构，应当经省金融工作局批准后设立。</w:t>
            </w:r>
          </w:p>
        </w:tc>
      </w:tr>
    </w:tbl>
    <w:p w:rsidR="003B7353" w:rsidRPr="00D34B69" w:rsidRDefault="003B7353"/>
    <w:sectPr w:rsidR="003B7353" w:rsidRPr="00D34B69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no val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DA4" w:rsidRPr="00223DA4" w:rsidRDefault="00D34B69">
    <w:pPr>
      <w:pStyle w:val="a3"/>
      <w:rPr>
        <w:rFonts w:ascii="宋体" w:eastAsia="宋体" w:hAnsi="宋体"/>
        <w:sz w:val="28"/>
        <w:szCs w:val="28"/>
      </w:rPr>
    </w:pPr>
    <w:r w:rsidRPr="00223DA4">
      <w:rPr>
        <w:rFonts w:ascii="宋体" w:eastAsia="宋体" w:hAnsi="宋体" w:hint="eastAsia"/>
        <w:sz w:val="28"/>
        <w:szCs w:val="28"/>
      </w:rPr>
      <w:t>—</w:t>
    </w:r>
    <w:r w:rsidRPr="00223DA4">
      <w:rPr>
        <w:rFonts w:ascii="宋体" w:eastAsia="宋体" w:hAnsi="宋体"/>
        <w:sz w:val="28"/>
        <w:szCs w:val="28"/>
      </w:rPr>
      <w:fldChar w:fldCharType="begin"/>
    </w:r>
    <w:r w:rsidRPr="00223DA4">
      <w:rPr>
        <w:rFonts w:ascii="宋体" w:eastAsia="宋体" w:hAnsi="宋体"/>
        <w:sz w:val="28"/>
        <w:szCs w:val="28"/>
      </w:rPr>
      <w:instrText>PAGE   \* MERGEFORMAT</w:instrText>
    </w:r>
    <w:r w:rsidRPr="00223DA4">
      <w:rPr>
        <w:rFonts w:ascii="宋体" w:eastAsia="宋体" w:hAnsi="宋体"/>
        <w:sz w:val="28"/>
        <w:szCs w:val="28"/>
      </w:rPr>
      <w:fldChar w:fldCharType="separate"/>
    </w:r>
    <w:r w:rsidRPr="004F768E">
      <w:rPr>
        <w:rFonts w:ascii="宋体" w:eastAsia="宋体" w:hAnsi="宋体"/>
        <w:noProof/>
        <w:sz w:val="28"/>
        <w:szCs w:val="28"/>
        <w:lang w:val="zh-CN"/>
      </w:rPr>
      <w:t>4</w:t>
    </w:r>
    <w:r w:rsidRPr="00223DA4">
      <w:rPr>
        <w:rFonts w:ascii="宋体" w:eastAsia="宋体" w:hAnsi="宋体"/>
        <w:sz w:val="28"/>
        <w:szCs w:val="28"/>
      </w:rPr>
      <w:fldChar w:fldCharType="end"/>
    </w:r>
    <w:r w:rsidRPr="00223DA4"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DA4" w:rsidRPr="00223DA4" w:rsidRDefault="00D34B69" w:rsidP="00223DA4">
    <w:pPr>
      <w:pStyle w:val="a3"/>
      <w:jc w:val="right"/>
      <w:rPr>
        <w:rFonts w:ascii="宋体" w:eastAsia="宋体" w:hAnsi="宋体" w:hint="eastAsia"/>
        <w:sz w:val="28"/>
        <w:szCs w:val="28"/>
      </w:rPr>
    </w:pPr>
    <w:r w:rsidRPr="00223DA4">
      <w:rPr>
        <w:rFonts w:ascii="宋体" w:eastAsia="宋体" w:hAnsi="宋体" w:hint="eastAsia"/>
        <w:sz w:val="28"/>
        <w:szCs w:val="28"/>
      </w:rPr>
      <w:t>—</w:t>
    </w:r>
    <w:r w:rsidRPr="00223DA4">
      <w:rPr>
        <w:rFonts w:ascii="宋体" w:eastAsia="宋体" w:hAnsi="宋体"/>
        <w:sz w:val="28"/>
        <w:szCs w:val="28"/>
      </w:rPr>
      <w:fldChar w:fldCharType="begin"/>
    </w:r>
    <w:r w:rsidRPr="00223DA4">
      <w:rPr>
        <w:rFonts w:ascii="宋体" w:eastAsia="宋体" w:hAnsi="宋体"/>
        <w:sz w:val="28"/>
        <w:szCs w:val="28"/>
      </w:rPr>
      <w:instrText>PAGE   \* MERGEFORMAT</w:instrText>
    </w:r>
    <w:r w:rsidRPr="00223DA4">
      <w:rPr>
        <w:rFonts w:ascii="宋体" w:eastAsia="宋体" w:hAnsi="宋体"/>
        <w:sz w:val="28"/>
        <w:szCs w:val="28"/>
      </w:rPr>
      <w:fldChar w:fldCharType="separate"/>
    </w:r>
    <w:r w:rsidRPr="00D34B69">
      <w:rPr>
        <w:rFonts w:ascii="宋体" w:eastAsia="宋体" w:hAnsi="宋体"/>
        <w:noProof/>
        <w:sz w:val="28"/>
        <w:szCs w:val="28"/>
        <w:lang w:val="zh-CN"/>
      </w:rPr>
      <w:t>1</w:t>
    </w:r>
    <w:r w:rsidRPr="00223DA4">
      <w:rPr>
        <w:rFonts w:ascii="宋体" w:eastAsia="宋体" w:hAnsi="宋体"/>
        <w:sz w:val="28"/>
        <w:szCs w:val="28"/>
      </w:rPr>
      <w:fldChar w:fldCharType="end"/>
    </w:r>
    <w:r w:rsidRPr="00223DA4">
      <w:rPr>
        <w:rFonts w:ascii="宋体" w:eastAsia="宋体" w:hAnsi="宋体" w:hint="eastAsia"/>
        <w:sz w:val="28"/>
        <w:szCs w:val="28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lvl w:ilvl="0">
      <w:start w:val="4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B69"/>
    <w:rsid w:val="003B7353"/>
    <w:rsid w:val="00D3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B69"/>
    <w:pPr>
      <w:widowControl w:val="0"/>
      <w:jc w:val="both"/>
    </w:pPr>
    <w:rPr>
      <w:rFonts w:ascii="仿宋_GB2312" w:eastAsia="仿宋_GB2312" w:hAnsi="no value" w:cs="宋体"/>
      <w:color w:val="000000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D34B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34B69"/>
    <w:rPr>
      <w:rFonts w:ascii="仿宋_GB2312" w:eastAsia="仿宋_GB2312" w:hAnsi="no value" w:cs="宋体"/>
      <w:color w:val="000000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B69"/>
    <w:pPr>
      <w:widowControl w:val="0"/>
      <w:jc w:val="both"/>
    </w:pPr>
    <w:rPr>
      <w:rFonts w:ascii="仿宋_GB2312" w:eastAsia="仿宋_GB2312" w:hAnsi="no value" w:cs="宋体"/>
      <w:color w:val="000000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D34B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34B69"/>
    <w:rPr>
      <w:rFonts w:ascii="仿宋_GB2312" w:eastAsia="仿宋_GB2312" w:hAnsi="no value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fenglizhi</dc:creator>
  <cp:lastModifiedBy>fenglizhi</cp:lastModifiedBy>
  <cp:revision>1</cp:revision>
  <dcterms:created xsi:type="dcterms:W3CDTF">2018-03-05T01:06:00Z</dcterms:created>
  <dcterms:modified xsi:type="dcterms:W3CDTF">2018-03-05T01:06:00Z</dcterms:modified>
</cp:coreProperties>
</file>