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方正黑体简体" w:hAnsi="黑体" w:eastAsia="方正黑体简体"/>
          <w:sz w:val="32"/>
          <w:szCs w:val="32"/>
        </w:rPr>
      </w:pPr>
      <w:r>
        <w:rPr>
          <w:rFonts w:hint="eastAsia" w:ascii="方正黑体简体" w:hAnsi="黑体" w:eastAsia="方正黑体简体"/>
          <w:sz w:val="32"/>
          <w:szCs w:val="32"/>
        </w:rPr>
        <w:t>附件13</w:t>
      </w:r>
    </w:p>
    <w:p>
      <w:pPr>
        <w:spacing w:line="580" w:lineRule="exact"/>
        <w:rPr>
          <w:rFonts w:eastAsia="仿宋_GB2312"/>
          <w:sz w:val="32"/>
          <w:szCs w:val="32"/>
        </w:rPr>
      </w:pPr>
    </w:p>
    <w:p>
      <w:pPr>
        <w:spacing w:line="580" w:lineRule="exact"/>
        <w:jc w:val="center"/>
        <w:rPr>
          <w:rFonts w:hint="eastAsia" w:ascii="方正小标宋简体" w:hAnsi="华文中宋" w:eastAsia="方正小标宋简体"/>
          <w:spacing w:val="-2"/>
          <w:sz w:val="44"/>
          <w:szCs w:val="44"/>
        </w:rPr>
      </w:pPr>
      <w:bookmarkStart w:id="0" w:name="_GoBack"/>
      <w:r>
        <w:rPr>
          <w:rFonts w:hint="eastAsia" w:ascii="方正小标宋简体" w:hAnsi="华文中宋" w:eastAsia="方正小标宋简体"/>
          <w:spacing w:val="-2"/>
          <w:sz w:val="44"/>
          <w:szCs w:val="44"/>
        </w:rPr>
        <w:t>满洲里市城镇土地使用税税额标准调整方案</w:t>
      </w:r>
      <w:bookmarkEnd w:id="0"/>
    </w:p>
    <w:p>
      <w:pPr>
        <w:spacing w:line="58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580" w:lineRule="exact"/>
        <w:ind w:firstLine="640" w:firstLineChars="200"/>
        <w:rPr>
          <w:rFonts w:hint="eastAsia" w:ascii="方正黑体简体" w:eastAsia="方正黑体简体"/>
          <w:sz w:val="32"/>
          <w:szCs w:val="32"/>
        </w:rPr>
      </w:pPr>
      <w:r>
        <w:rPr>
          <w:rFonts w:hint="eastAsia" w:ascii="方正黑体简体" w:hAnsi="黑体" w:eastAsia="方正黑体简体"/>
          <w:sz w:val="32"/>
          <w:szCs w:val="32"/>
        </w:rPr>
        <w:t>一、满洲里市应税土地单位税额标准</w:t>
      </w:r>
    </w:p>
    <w:p>
      <w:pPr>
        <w:spacing w:line="580" w:lineRule="exact"/>
        <w:ind w:firstLine="640" w:firstLineChars="200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一等地：4.8元/平方米；</w:t>
      </w:r>
    </w:p>
    <w:p>
      <w:pPr>
        <w:spacing w:line="580" w:lineRule="exact"/>
        <w:ind w:firstLine="640" w:firstLineChars="200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二等地：3.6 元/平方米；</w:t>
      </w:r>
    </w:p>
    <w:p>
      <w:pPr>
        <w:spacing w:line="580" w:lineRule="exact"/>
        <w:ind w:firstLine="640" w:firstLineChars="200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三等地：2.4 元/平方米。</w:t>
      </w:r>
    </w:p>
    <w:p>
      <w:pPr>
        <w:spacing w:line="580" w:lineRule="exact"/>
        <w:ind w:firstLine="640" w:firstLineChars="200"/>
        <w:rPr>
          <w:rFonts w:ascii="方正黑体简体" w:hAnsi="黑体" w:eastAsia="方正黑体简体"/>
          <w:sz w:val="32"/>
          <w:szCs w:val="32"/>
        </w:rPr>
      </w:pPr>
      <w:r>
        <w:rPr>
          <w:rFonts w:ascii="方正黑体简体" w:hAnsi="黑体" w:eastAsia="方正黑体简体"/>
          <w:sz w:val="32"/>
          <w:szCs w:val="32"/>
        </w:rPr>
        <w:t>二、扎赉诺尔区应税土地单位税额标准</w:t>
      </w:r>
    </w:p>
    <w:p>
      <w:pPr>
        <w:spacing w:line="580" w:lineRule="exact"/>
        <w:ind w:firstLine="640" w:firstLineChars="200"/>
        <w:rPr>
          <w:rFonts w:hint="eastAsia" w:ascii="方正仿宋简体" w:eastAsia="方正仿宋简体"/>
          <w:sz w:val="32"/>
          <w:szCs w:val="32"/>
        </w:rPr>
      </w:pPr>
      <w:r>
        <w:rPr>
          <w:rFonts w:hint="eastAsia" w:ascii="方正仿宋简体" w:eastAsia="方正仿宋简体"/>
          <w:sz w:val="32"/>
          <w:szCs w:val="32"/>
        </w:rPr>
        <w:t>三等地： 2.4元/平方米。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2D48A4"/>
    <w:rsid w:val="152D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2019-03-26T09:06:00Z</dcterms:created>
  <dc:creator>bgt</dc:creator>
  <cp:lastModifiedBy>bgt</cp:lastModifiedBy>
  <dcterms:modified xsi:type="dcterms:W3CDTF">2019-03-26T09:06:40Z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