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bookmarkStart w:id="1" w:name="_GoBack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附件5</w:t>
      </w:r>
    </w:p>
    <w:p>
      <w:pPr>
        <w:rPr>
          <w:bCs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rPr>
          <w:rStyle w:val="9"/>
          <w:rFonts w:ascii="楷体" w:hAnsi="楷体" w:eastAsia="楷体" w:cs="楷体"/>
          <w:color w:val="000000"/>
          <w:sz w:val="40"/>
          <w:szCs w:val="40"/>
        </w:rPr>
      </w:pPr>
      <w:r>
        <w:rPr>
          <w:rStyle w:val="9"/>
          <w:rFonts w:hint="eastAsia" w:ascii="楷体" w:hAnsi="楷体" w:eastAsia="楷体" w:cs="楷体"/>
          <w:color w:val="000000"/>
          <w:sz w:val="40"/>
          <w:szCs w:val="40"/>
        </w:rPr>
        <w:t>贵州省企业研究开发费用税前加计扣除项目</w:t>
      </w:r>
    </w:p>
    <w:p>
      <w:pPr>
        <w:adjustRightInd w:val="0"/>
        <w:snapToGrid w:val="0"/>
        <w:jc w:val="center"/>
        <w:rPr>
          <w:rFonts w:ascii="楷体" w:hAnsi="楷体" w:eastAsia="楷体" w:cs="楷体"/>
          <w:b/>
          <w:color w:val="000000"/>
          <w:sz w:val="40"/>
          <w:szCs w:val="40"/>
        </w:rPr>
      </w:pPr>
      <w:r>
        <w:rPr>
          <w:rStyle w:val="9"/>
          <w:rFonts w:hint="eastAsia" w:ascii="楷体" w:hAnsi="楷体" w:eastAsia="楷体" w:cs="楷体"/>
          <w:color w:val="000000"/>
          <w:sz w:val="40"/>
          <w:szCs w:val="40"/>
        </w:rPr>
        <w:t>技术</w:t>
      </w:r>
      <w:r>
        <w:rPr>
          <w:rFonts w:hint="eastAsia" w:ascii="楷体" w:hAnsi="楷体" w:eastAsia="楷体" w:cs="楷体"/>
          <w:b/>
          <w:color w:val="000000"/>
          <w:sz w:val="40"/>
          <w:szCs w:val="40"/>
        </w:rPr>
        <w:t>鉴定意见</w:t>
      </w:r>
    </w:p>
    <w:bookmarkEnd w:id="1"/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（模板）</w:t>
      </w: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>（20xx年度）</w:t>
      </w: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rFonts w:ascii="宋体" w:hAnsi="宋体"/>
          <w:b/>
          <w:color w:val="000000"/>
          <w:sz w:val="36"/>
          <w:szCs w:val="36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ind w:firstLine="1795" w:firstLineChars="596"/>
        <w:jc w:val="left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企业名称：</w:t>
      </w:r>
    </w:p>
    <w:p>
      <w:pPr>
        <w:adjustRightInd w:val="0"/>
        <w:snapToGrid w:val="0"/>
        <w:ind w:firstLine="2880" w:firstLineChars="960"/>
        <w:rPr>
          <w:color w:val="000000"/>
          <w:sz w:val="30"/>
          <w:szCs w:val="30"/>
          <w:u w:val="single"/>
        </w:rPr>
      </w:pPr>
    </w:p>
    <w:p>
      <w:pPr>
        <w:adjustRightInd w:val="0"/>
        <w:snapToGrid w:val="0"/>
        <w:ind w:firstLine="1434" w:firstLineChars="478"/>
        <w:rPr>
          <w:color w:val="000000"/>
          <w:sz w:val="30"/>
          <w:szCs w:val="30"/>
          <w:u w:val="single"/>
        </w:rPr>
      </w:pPr>
    </w:p>
    <w:p>
      <w:pPr>
        <w:adjustRightInd w:val="0"/>
        <w:snapToGrid w:val="0"/>
        <w:ind w:firstLine="1440" w:firstLineChars="478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鉴定时间：20xx年月日</w:t>
      </w: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>贵州省科学技术厅监制</w:t>
      </w: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adjustRightInd w:val="0"/>
        <w:snapToGrid w:val="0"/>
        <w:jc w:val="center"/>
        <w:rPr>
          <w:b/>
          <w:color w:val="000000"/>
          <w:sz w:val="30"/>
          <w:szCs w:val="30"/>
        </w:rPr>
      </w:pPr>
    </w:p>
    <w:p>
      <w:pPr>
        <w:ind w:firstLine="578" w:firstLineChars="192"/>
        <w:jc w:val="center"/>
        <w:rPr>
          <w:rFonts w:ascii="仿宋_GB2312" w:hAnsi="宋体" w:eastAsia="仿宋_GB2312" w:cs="宋体"/>
          <w:b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  <w:t>说  明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企业研究开发费用税前加计扣除项目鉴定范围：本省主管税务部门对企业享受加计扣除优惠的研发项目有异议的。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依据《财政部 国家税务总局 科学技术部关于完善研究开发费用税前加计扣除政策的通知》（财税〔2015〕119号），就项目以下内容进行鉴定。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（一）项目是否属于“不适用税前加计扣除政策的行业”范围；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（二）项目是否属于“创造性运用科学技术新知识，或实质性改进技术、产品（服务）、工艺而持续进行的具有明确目标的系统性活动”研发活动；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（三）项目是否具有明确的研发过程、研发阶段性成果与实施情况；</w:t>
      </w:r>
    </w:p>
    <w:p>
      <w:pPr>
        <w:ind w:firstLine="537" w:firstLineChars="192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（四）项目对本行业、地区的经济、社会发展和科技进步具有的作用和取得的成效；</w:t>
      </w:r>
    </w:p>
    <w:p>
      <w:pPr>
        <w:widowControl/>
        <w:spacing w:line="600" w:lineRule="exact"/>
        <w:ind w:firstLine="700" w:firstLineChars="25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（五）主管税务部门要求的其它事项。</w:t>
      </w: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rStyle w:val="9"/>
          <w:color w:val="000000"/>
          <w:sz w:val="28"/>
          <w:szCs w:val="28"/>
        </w:rPr>
      </w:pPr>
    </w:p>
    <w:p>
      <w:pPr>
        <w:adjustRightInd w:val="0"/>
        <w:snapToGrid w:val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rStyle w:val="9"/>
          <w:rFonts w:hint="eastAsia"/>
          <w:color w:val="000000"/>
          <w:sz w:val="28"/>
          <w:szCs w:val="28"/>
        </w:rPr>
        <w:t>贵州省企业研究开发费用税前加计扣除项目技术</w:t>
      </w:r>
      <w:r>
        <w:rPr>
          <w:rFonts w:hint="eastAsia"/>
          <w:b/>
          <w:color w:val="000000"/>
          <w:sz w:val="28"/>
          <w:szCs w:val="28"/>
        </w:rPr>
        <w:t>鉴定意见书</w:t>
      </w:r>
    </w:p>
    <w:tbl>
      <w:tblPr>
        <w:tblStyle w:val="12"/>
        <w:tblW w:w="941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4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spacing w:afterLines="15" w:line="360" w:lineRule="exact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项目名称</w:t>
            </w:r>
          </w:p>
        </w:tc>
        <w:tc>
          <w:tcPr>
            <w:tcW w:w="7435" w:type="dxa"/>
            <w:vAlign w:val="center"/>
          </w:tcPr>
          <w:p>
            <w:pPr>
              <w:adjustRightInd w:val="0"/>
              <w:snapToGrid w:val="0"/>
              <w:spacing w:afterLines="15" w:line="36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spacing w:afterLines="15" w:line="360" w:lineRule="exact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实施单位</w:t>
            </w:r>
          </w:p>
        </w:tc>
        <w:tc>
          <w:tcPr>
            <w:tcW w:w="7435" w:type="dxa"/>
            <w:vAlign w:val="center"/>
          </w:tcPr>
          <w:p>
            <w:pPr>
              <w:adjustRightInd w:val="0"/>
              <w:snapToGrid w:val="0"/>
              <w:spacing w:afterLines="15" w:line="360" w:lineRule="exact"/>
              <w:rPr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spacing w:afterLines="15" w:line="360" w:lineRule="exact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项目起始时间</w:t>
            </w:r>
          </w:p>
        </w:tc>
        <w:tc>
          <w:tcPr>
            <w:tcW w:w="7435" w:type="dxa"/>
            <w:vAlign w:val="center"/>
          </w:tcPr>
          <w:p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8" w:hRule="atLeast"/>
          <w:jc w:val="center"/>
        </w:trPr>
        <w:tc>
          <w:tcPr>
            <w:tcW w:w="9415" w:type="dxa"/>
            <w:gridSpan w:val="2"/>
            <w:vAlign w:val="top"/>
          </w:tcPr>
          <w:p>
            <w:pPr>
              <w:spacing w:line="360" w:lineRule="auto"/>
              <w:ind w:firstLine="560" w:firstLineChars="20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根据财税〔2015〕119号文件要求，科技、财政、税务、经信部门组织专家对企业项目进行了技术鉴定，鉴定意见如下：</w:t>
            </w:r>
          </w:p>
          <w:p>
            <w:pPr>
              <w:spacing w:line="360" w:lineRule="auto"/>
              <w:ind w:firstLine="560" w:firstLineChars="200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1、企业提交的项目技术鉴定资料齐全。</w:t>
            </w:r>
          </w:p>
          <w:p>
            <w:pPr>
              <w:spacing w:line="360" w:lineRule="auto"/>
              <w:ind w:firstLine="560" w:firstLineChars="200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2、项目针对</w:t>
            </w:r>
            <w:r>
              <w:rPr>
                <w:rFonts w:hint="eastAsia" w:ascii="仿宋" w:hAnsi="仿宋" w:eastAsia="仿宋"/>
                <w:color w:val="000000"/>
                <w:sz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等技术需求，开展了</w:t>
            </w:r>
            <w:r>
              <w:rPr>
                <w:rFonts w:hint="eastAsia" w:ascii="仿宋" w:hAnsi="仿宋" w:eastAsia="仿宋"/>
                <w:color w:val="000000"/>
                <w:sz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等关键技术研究（持续实质性改进），解决了</w:t>
            </w:r>
            <w:r>
              <w:rPr>
                <w:rFonts w:hint="eastAsia" w:ascii="仿宋" w:hAnsi="仿宋" w:eastAsia="仿宋"/>
                <w:color w:val="000000"/>
                <w:sz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等技术问题，创新了</w:t>
            </w:r>
            <w:bookmarkStart w:id="0" w:name="OLE_LINK3"/>
            <w:bookmarkEnd w:id="0"/>
            <w:r>
              <w:rPr>
                <w:rFonts w:hint="eastAsia" w:ascii="仿宋" w:hAnsi="仿宋" w:eastAsia="仿宋"/>
                <w:color w:val="000000"/>
                <w:sz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等，取得了阶段性技术创新成果，属于“新产品、新技术、新工艺、新创意”中的</w:t>
            </w:r>
          </w:p>
          <w:p>
            <w:pPr>
              <w:spacing w:line="360" w:lineRule="auto"/>
              <w:ind w:firstLine="19" w:firstLineChars="7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u w:val="single"/>
              </w:rPr>
              <w:t>　　　　</w:t>
            </w:r>
            <w:r>
              <w:rPr>
                <w:rFonts w:hint="eastAsia" w:ascii="仿宋" w:hAnsi="仿宋" w:eastAsia="仿宋"/>
                <w:color w:val="000000"/>
                <w:sz w:val="28"/>
              </w:rPr>
              <w:t>等。项目的实施对提升的技术水平具有推动促进作用。</w:t>
            </w:r>
          </w:p>
          <w:p>
            <w:pPr>
              <w:spacing w:line="560" w:lineRule="exact"/>
              <w:ind w:firstLine="445" w:firstLineChars="159"/>
              <w:rPr>
                <w:rFonts w:ascii="仿宋" w:hAnsi="仿宋" w:eastAsia="仿宋"/>
                <w:color w:val="000000"/>
                <w:sz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3、本鉴定意见未对企业所得税前加计扣除的研发费用归集进行核实。</w:t>
            </w:r>
          </w:p>
          <w:p>
            <w:pPr>
              <w:spacing w:before="25" w:after="25" w:line="320" w:lineRule="exact"/>
              <w:ind w:firstLine="445" w:firstLineChars="159"/>
              <w:rPr>
                <w:rFonts w:ascii="仿宋" w:hAnsi="仿宋" w:eastAsia="仿宋"/>
                <w:color w:val="000000"/>
                <w:sz w:val="28"/>
              </w:rPr>
            </w:pPr>
          </w:p>
          <w:p>
            <w:pPr>
              <w:spacing w:before="25" w:after="25" w:line="320" w:lineRule="exact"/>
              <w:ind w:firstLine="381" w:firstLineChars="159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spacing w:beforeLines="50" w:afterLines="50"/>
        <w:rPr>
          <w:b/>
          <w:color w:val="000000"/>
          <w:sz w:val="32"/>
        </w:rPr>
      </w:pPr>
    </w:p>
    <w:p>
      <w:pPr>
        <w:spacing w:beforeLines="50" w:afterLines="50"/>
        <w:rPr>
          <w:b/>
          <w:color w:val="000000"/>
          <w:sz w:val="32"/>
        </w:rPr>
      </w:pPr>
    </w:p>
    <w:p>
      <w:pPr>
        <w:spacing w:beforeLines="50" w:afterLines="50"/>
        <w:rPr>
          <w:b/>
          <w:color w:val="000000"/>
          <w:sz w:val="32"/>
        </w:rPr>
      </w:pPr>
    </w:p>
    <w:p>
      <w:pPr>
        <w:spacing w:beforeLines="50" w:afterLines="50"/>
        <w:rPr>
          <w:b/>
          <w:color w:val="000000"/>
          <w:sz w:val="32"/>
        </w:rPr>
        <w:sectPr>
          <w:headerReference r:id="rId3" w:type="default"/>
          <w:footerReference r:id="rId4" w:type="default"/>
          <w:pgSz w:w="11906" w:h="16838"/>
          <w:pgMar w:top="2041" w:right="1531" w:bottom="2041" w:left="1531" w:header="851" w:footer="992" w:gutter="0"/>
          <w:paperSrc/>
          <w:pgNumType w:fmt="decimal"/>
          <w:cols w:space="720" w:num="1"/>
          <w:rtlGutter w:val="0"/>
          <w:docGrid w:type="lines" w:linePitch="312" w:charSpace="0"/>
        </w:sectPr>
      </w:pPr>
    </w:p>
    <w:tbl>
      <w:tblPr>
        <w:tblStyle w:val="12"/>
        <w:tblW w:w="1291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815"/>
        <w:gridCol w:w="2400"/>
        <w:gridCol w:w="2970"/>
        <w:gridCol w:w="2595"/>
        <w:gridCol w:w="91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291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企业研究开发费用税前加计扣除项目技术鉴定会专家名单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鉴定会职务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签名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现从事专业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职称职务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组长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</w:tblPrEx>
        <w:trPr>
          <w:trHeight w:val="600" w:hRule="atLeast"/>
        </w:trPr>
        <w:tc>
          <w:tcPr>
            <w:tcW w:w="22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</w:tbl>
    <w:p>
      <w:pPr>
        <w:spacing w:beforeLines="50" w:afterLines="50"/>
        <w:rPr>
          <w:b/>
          <w:color w:val="000000"/>
          <w:sz w:val="32"/>
        </w:rPr>
        <w:sectPr>
          <w:pgSz w:w="16838" w:h="11906" w:orient="landscape"/>
          <w:pgMar w:top="1531" w:right="2041" w:bottom="1531" w:left="2041" w:header="851" w:footer="992" w:gutter="0"/>
          <w:paperSrc/>
          <w:pgNumType w:fmt="decimal"/>
          <w:cols w:space="720" w:num="1"/>
          <w:rtlGutter w:val="0"/>
          <w:docGrid w:type="lines" w:linePitch="312" w:charSpace="0"/>
        </w:sectPr>
      </w:pPr>
    </w:p>
    <w:tbl>
      <w:tblPr>
        <w:tblStyle w:val="12"/>
        <w:tblW w:w="95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516" w:type="dxa"/>
            <w:vAlign w:val="top"/>
          </w:tcPr>
          <w:p>
            <w:pPr>
              <w:spacing w:beforeLines="50" w:afterLines="50"/>
              <w:jc w:val="center"/>
              <w:rPr>
                <w:color w:val="000000"/>
              </w:rPr>
            </w:pPr>
            <w:r>
              <w:rPr>
                <w:rFonts w:hint="eastAsia"/>
                <w:b/>
                <w:color w:val="000000"/>
                <w:sz w:val="32"/>
              </w:rPr>
              <w:t>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4" w:hRule="atLeast"/>
          <w:jc w:val="center"/>
        </w:trPr>
        <w:tc>
          <w:tcPr>
            <w:tcW w:w="95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line="400" w:lineRule="exact"/>
              <w:ind w:right="17"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我厅（局）依据《财政部 国家税务总局 科学技术部关于完善研究开发费用税前加计扣除政策的通知》（财税〔2015〕119号），组织相关专家对20年度你</w:t>
            </w:r>
            <w:r>
              <w:rPr>
                <w:rFonts w:hint="eastAsia" w:ascii="仿宋_GB2312" w:eastAsia="仿宋_GB2312"/>
                <w:color w:val="000000"/>
                <w:sz w:val="28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/>
                <w:color w:val="000000"/>
                <w:sz w:val="28"/>
              </w:rPr>
              <w:t>公司的 X个项目进行了企业研究开发费用税前加计扣除项目技术鉴定。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line="400" w:lineRule="exact"/>
              <w:ind w:right="17"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项目名称为：1、xxxx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line="400" w:lineRule="exact"/>
              <w:ind w:right="17" w:firstLine="2240" w:firstLineChars="8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2、xxxx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50" w:line="400" w:lineRule="exact"/>
              <w:ind w:right="17"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鉴定意见如下：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1、企业所属行业符合《财政部 国家税务总局 科学技术部关于完善研究开发费用税前加计扣除政策的通知》（财税〔2015〕119号）对税前加计扣除行业的规定；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2、项目研发活动属于创造性运用科学技术新知识，或实质性改进技术、产品（服务）、工艺而持续进行的具有明确目标的系统性活动，符合《财政部 国家税务总局 科学技术部关于完善研究开发费用税前加计扣除政策的通知》（财税〔2015〕119号）规定的要求；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3、项目实施对提升</w:t>
            </w:r>
            <w:r>
              <w:rPr>
                <w:rFonts w:hint="eastAsia" w:ascii="仿宋_GB2312" w:eastAsia="仿宋_GB2312"/>
                <w:color w:val="000000"/>
                <w:sz w:val="28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8"/>
              </w:rPr>
              <w:t>的技术水平具有推动与促进作用。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>4、同意专家组鉴定意见。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16" w:type="dxa"/>
            <w:vAlign w:val="top"/>
          </w:tcPr>
          <w:p>
            <w:pPr>
              <w:ind w:right="1120" w:firstLine="960" w:firstLineChars="40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主管业务处签字：</w:t>
            </w:r>
          </w:p>
          <w:p>
            <w:pPr>
              <w:ind w:right="840"/>
              <w:rPr>
                <w:color w:val="000000"/>
                <w:sz w:val="24"/>
              </w:rPr>
            </w:pPr>
          </w:p>
          <w:p>
            <w:pPr>
              <w:ind w:firstLine="6480" w:firstLineChars="27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9516" w:type="dxa"/>
            <w:vAlign w:val="top"/>
          </w:tcPr>
          <w:p>
            <w:pPr>
              <w:ind w:right="1680" w:firstLine="1152" w:firstLineChars="48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主管领导签字：</w:t>
            </w:r>
          </w:p>
          <w:p>
            <w:pPr>
              <w:ind w:right="840"/>
              <w:rPr>
                <w:color w:val="000000"/>
                <w:sz w:val="24"/>
              </w:rPr>
            </w:pPr>
          </w:p>
          <w:p>
            <w:pPr>
              <w:ind w:right="840" w:firstLine="6360" w:firstLineChars="265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rFonts w:hint="eastAsia"/>
                <w:color w:val="000000"/>
                <w:sz w:val="24"/>
              </w:rPr>
              <w:t>公章)</w:t>
            </w:r>
          </w:p>
          <w:p>
            <w:pPr>
              <w:ind w:firstLine="5880" w:firstLineChars="245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   月   日</w:t>
            </w:r>
          </w:p>
        </w:tc>
      </w:tr>
    </w:tbl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79" w:lineRule="exact"/>
        <w:textAlignment w:val="auto"/>
        <w:rPr>
          <w:rFonts w:hint="default" w:ascii="Times New Roman" w:hAnsi="Times New Roman" w:eastAsia="黑体" w:cs="Times New Roman"/>
          <w:sz w:val="32"/>
          <w:szCs w:val="28"/>
        </w:rPr>
      </w:pPr>
    </w:p>
    <w:p>
      <w:pPr>
        <w:spacing w:line="500" w:lineRule="exact"/>
        <w:ind w:left="272" w:hanging="280" w:hangingChars="100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sectPr>
      <w:pgSz w:w="11906" w:h="16838"/>
      <w:pgMar w:top="2041" w:right="1531" w:bottom="2041" w:left="1531" w:header="851" w:footer="992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">
    <w:altName w:val="微软雅黑"/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-28575</wp:posOffset>
              </wp:positionV>
              <wp:extent cx="1003300" cy="23304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2330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firstLine="280" w:firstLineChars="100"/>
                            <w:rPr>
                              <w:rFonts w:hint="default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vert="horz" wrap="square" lIns="0" tIns="0" rIns="0" bIns="0" anchor="t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-2.25pt;height:18.35pt;width:79pt;mso-position-horizontal:outside;mso-position-horizontal-relative:margin;z-index:251658240;mso-width-relative:page;mso-height-relative:page;" filled="f" stroked="f" coordsize="21600,21600" o:gfxdata="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XvSJ7WAAAABgEAAA8AAAAAAAAAAQAgAAAAIgAAAGRycy9kb3ducmV2&#10;LnhtbFBLAQIUABQAAAAIAIdO4kAfXbg7xQEAAGADAAAOAAAAAAAAAAEAIAAAACUBAABkcnMvZTJv&#10;RG9jLnhtbFBLBQYAAAAABgAGAFkBAABcBQAAAAA=&#10;">
              <v:fill on="f" focussize="0,0"/>
              <v:stroke on="f" weight="1.25pt" joinstyle="miter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ind w:firstLine="280" w:firstLineChars="100"/>
                      <w:rPr>
                        <w:rFonts w:hint="default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dit="forms" w:formatting="1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E00"/>
    <w:rsid w:val="00017A75"/>
    <w:rsid w:val="00025342"/>
    <w:rsid w:val="000A7E69"/>
    <w:rsid w:val="000E2019"/>
    <w:rsid w:val="000E2F83"/>
    <w:rsid w:val="000E3429"/>
    <w:rsid w:val="000E64FB"/>
    <w:rsid w:val="0010772A"/>
    <w:rsid w:val="00131196"/>
    <w:rsid w:val="00147B0F"/>
    <w:rsid w:val="00152D3E"/>
    <w:rsid w:val="001652A6"/>
    <w:rsid w:val="001B71CA"/>
    <w:rsid w:val="00220609"/>
    <w:rsid w:val="00227E35"/>
    <w:rsid w:val="00265190"/>
    <w:rsid w:val="00266412"/>
    <w:rsid w:val="00270333"/>
    <w:rsid w:val="00274236"/>
    <w:rsid w:val="002C4667"/>
    <w:rsid w:val="00313701"/>
    <w:rsid w:val="00327BF0"/>
    <w:rsid w:val="003547C3"/>
    <w:rsid w:val="00362AA7"/>
    <w:rsid w:val="003761EB"/>
    <w:rsid w:val="003767BE"/>
    <w:rsid w:val="003946A0"/>
    <w:rsid w:val="003D5597"/>
    <w:rsid w:val="00412676"/>
    <w:rsid w:val="00426A6D"/>
    <w:rsid w:val="004450BC"/>
    <w:rsid w:val="0045657D"/>
    <w:rsid w:val="004C74E9"/>
    <w:rsid w:val="004D3E00"/>
    <w:rsid w:val="004D4DBD"/>
    <w:rsid w:val="004F0C6F"/>
    <w:rsid w:val="004F0DEA"/>
    <w:rsid w:val="00532E7D"/>
    <w:rsid w:val="00553EE1"/>
    <w:rsid w:val="00562222"/>
    <w:rsid w:val="00562541"/>
    <w:rsid w:val="00583994"/>
    <w:rsid w:val="00594AAF"/>
    <w:rsid w:val="005A4A71"/>
    <w:rsid w:val="005D1BB7"/>
    <w:rsid w:val="005E16A6"/>
    <w:rsid w:val="005E53C6"/>
    <w:rsid w:val="005F7127"/>
    <w:rsid w:val="0060191B"/>
    <w:rsid w:val="00653258"/>
    <w:rsid w:val="00693BD9"/>
    <w:rsid w:val="006A4835"/>
    <w:rsid w:val="006D1698"/>
    <w:rsid w:val="006D5082"/>
    <w:rsid w:val="00722ECC"/>
    <w:rsid w:val="00725799"/>
    <w:rsid w:val="00740CF7"/>
    <w:rsid w:val="007505A3"/>
    <w:rsid w:val="00752BC2"/>
    <w:rsid w:val="00775375"/>
    <w:rsid w:val="00791076"/>
    <w:rsid w:val="00793CF1"/>
    <w:rsid w:val="007B6927"/>
    <w:rsid w:val="007C0E9B"/>
    <w:rsid w:val="007C7E76"/>
    <w:rsid w:val="007E1473"/>
    <w:rsid w:val="007E3FBF"/>
    <w:rsid w:val="008963E7"/>
    <w:rsid w:val="008A0022"/>
    <w:rsid w:val="008D1F87"/>
    <w:rsid w:val="008E51BB"/>
    <w:rsid w:val="008E7570"/>
    <w:rsid w:val="008F41D6"/>
    <w:rsid w:val="00903473"/>
    <w:rsid w:val="0093409B"/>
    <w:rsid w:val="00970234"/>
    <w:rsid w:val="00994BFE"/>
    <w:rsid w:val="00996A60"/>
    <w:rsid w:val="009C0614"/>
    <w:rsid w:val="009F018F"/>
    <w:rsid w:val="009F1C1D"/>
    <w:rsid w:val="00A23FA1"/>
    <w:rsid w:val="00A25332"/>
    <w:rsid w:val="00A44EB0"/>
    <w:rsid w:val="00A52F52"/>
    <w:rsid w:val="00A6379F"/>
    <w:rsid w:val="00A653D9"/>
    <w:rsid w:val="00A8419C"/>
    <w:rsid w:val="00A87177"/>
    <w:rsid w:val="00AB1DAC"/>
    <w:rsid w:val="00AD7ED4"/>
    <w:rsid w:val="00B30667"/>
    <w:rsid w:val="00B3752D"/>
    <w:rsid w:val="00B712F6"/>
    <w:rsid w:val="00B96293"/>
    <w:rsid w:val="00BB52D5"/>
    <w:rsid w:val="00BC5C7E"/>
    <w:rsid w:val="00BE7120"/>
    <w:rsid w:val="00BF3021"/>
    <w:rsid w:val="00C1209F"/>
    <w:rsid w:val="00C51A61"/>
    <w:rsid w:val="00C734D4"/>
    <w:rsid w:val="00C92B9A"/>
    <w:rsid w:val="00C948D8"/>
    <w:rsid w:val="00CC7FEB"/>
    <w:rsid w:val="00CD51DD"/>
    <w:rsid w:val="00D413E9"/>
    <w:rsid w:val="00D96434"/>
    <w:rsid w:val="00D96435"/>
    <w:rsid w:val="00DA5492"/>
    <w:rsid w:val="00DD16E9"/>
    <w:rsid w:val="00DD492D"/>
    <w:rsid w:val="00E167D4"/>
    <w:rsid w:val="00E26459"/>
    <w:rsid w:val="00E36357"/>
    <w:rsid w:val="00E93443"/>
    <w:rsid w:val="00E96017"/>
    <w:rsid w:val="00EF27AC"/>
    <w:rsid w:val="00F31E8B"/>
    <w:rsid w:val="00F3638D"/>
    <w:rsid w:val="00F46734"/>
    <w:rsid w:val="00F75CCD"/>
    <w:rsid w:val="00FC632B"/>
    <w:rsid w:val="01335C58"/>
    <w:rsid w:val="015B4F47"/>
    <w:rsid w:val="019F68FA"/>
    <w:rsid w:val="01AA7149"/>
    <w:rsid w:val="01F81447"/>
    <w:rsid w:val="021A2C80"/>
    <w:rsid w:val="023747AF"/>
    <w:rsid w:val="028A67B7"/>
    <w:rsid w:val="029418A3"/>
    <w:rsid w:val="02BA1505"/>
    <w:rsid w:val="02F6716B"/>
    <w:rsid w:val="03377BD5"/>
    <w:rsid w:val="034858F1"/>
    <w:rsid w:val="034918F9"/>
    <w:rsid w:val="0356048A"/>
    <w:rsid w:val="036C33BD"/>
    <w:rsid w:val="03731FB8"/>
    <w:rsid w:val="03BC7232"/>
    <w:rsid w:val="03CD5B4A"/>
    <w:rsid w:val="04257280"/>
    <w:rsid w:val="044A7A18"/>
    <w:rsid w:val="044B421A"/>
    <w:rsid w:val="04873373"/>
    <w:rsid w:val="053E2528"/>
    <w:rsid w:val="05467935"/>
    <w:rsid w:val="05515CC6"/>
    <w:rsid w:val="056501EA"/>
    <w:rsid w:val="05CE4396"/>
    <w:rsid w:val="05E9120A"/>
    <w:rsid w:val="05E9713E"/>
    <w:rsid w:val="05F64D27"/>
    <w:rsid w:val="0621639E"/>
    <w:rsid w:val="06854592"/>
    <w:rsid w:val="068605BE"/>
    <w:rsid w:val="06CA0CE5"/>
    <w:rsid w:val="0709089A"/>
    <w:rsid w:val="07146C2B"/>
    <w:rsid w:val="071B2F8B"/>
    <w:rsid w:val="07855C66"/>
    <w:rsid w:val="07F35199"/>
    <w:rsid w:val="07FA7DC8"/>
    <w:rsid w:val="081B023C"/>
    <w:rsid w:val="0822097E"/>
    <w:rsid w:val="08354784"/>
    <w:rsid w:val="08547D63"/>
    <w:rsid w:val="086208CF"/>
    <w:rsid w:val="0892709C"/>
    <w:rsid w:val="08C971F6"/>
    <w:rsid w:val="09003C6B"/>
    <w:rsid w:val="093F241A"/>
    <w:rsid w:val="094411F8"/>
    <w:rsid w:val="098B72B4"/>
    <w:rsid w:val="09D54382"/>
    <w:rsid w:val="09D76FAE"/>
    <w:rsid w:val="09FA32BF"/>
    <w:rsid w:val="0A773A3A"/>
    <w:rsid w:val="0A8068C8"/>
    <w:rsid w:val="0A8D5BDD"/>
    <w:rsid w:val="0AD53DD3"/>
    <w:rsid w:val="0ADF2164"/>
    <w:rsid w:val="0AEA24CB"/>
    <w:rsid w:val="0AF8528D"/>
    <w:rsid w:val="0AFA0790"/>
    <w:rsid w:val="0B0A4A66"/>
    <w:rsid w:val="0B212BCE"/>
    <w:rsid w:val="0B2D556A"/>
    <w:rsid w:val="0B322830"/>
    <w:rsid w:val="0B3A7E08"/>
    <w:rsid w:val="0B6D0ACF"/>
    <w:rsid w:val="0B8D7CFF"/>
    <w:rsid w:val="0BC547FF"/>
    <w:rsid w:val="0CA755DB"/>
    <w:rsid w:val="0CAA4C53"/>
    <w:rsid w:val="0CFC04B1"/>
    <w:rsid w:val="0D11117F"/>
    <w:rsid w:val="0D161D84"/>
    <w:rsid w:val="0D5E59FB"/>
    <w:rsid w:val="0DA01CE8"/>
    <w:rsid w:val="0DB17A04"/>
    <w:rsid w:val="0DD643C0"/>
    <w:rsid w:val="0E8D60ED"/>
    <w:rsid w:val="0EC22F25"/>
    <w:rsid w:val="0F326302"/>
    <w:rsid w:val="0F546CF3"/>
    <w:rsid w:val="0F5B1FBE"/>
    <w:rsid w:val="0F5F4247"/>
    <w:rsid w:val="0F92713F"/>
    <w:rsid w:val="0FAC4CD3"/>
    <w:rsid w:val="101A315C"/>
    <w:rsid w:val="10537243"/>
    <w:rsid w:val="108D6EB8"/>
    <w:rsid w:val="10937675"/>
    <w:rsid w:val="109C2C0B"/>
    <w:rsid w:val="10B37629"/>
    <w:rsid w:val="10B434F4"/>
    <w:rsid w:val="10D66655"/>
    <w:rsid w:val="10D7595F"/>
    <w:rsid w:val="110B7786"/>
    <w:rsid w:val="111B419D"/>
    <w:rsid w:val="11A85086"/>
    <w:rsid w:val="11D23CCC"/>
    <w:rsid w:val="11D72B64"/>
    <w:rsid w:val="11F0327C"/>
    <w:rsid w:val="11F15147"/>
    <w:rsid w:val="12026C6F"/>
    <w:rsid w:val="1252633A"/>
    <w:rsid w:val="127F209A"/>
    <w:rsid w:val="12972968"/>
    <w:rsid w:val="129B26D0"/>
    <w:rsid w:val="129C0B90"/>
    <w:rsid w:val="129F7B9C"/>
    <w:rsid w:val="12AB55BE"/>
    <w:rsid w:val="12AF45B4"/>
    <w:rsid w:val="1312123F"/>
    <w:rsid w:val="13222B9F"/>
    <w:rsid w:val="136F4C00"/>
    <w:rsid w:val="137D3D07"/>
    <w:rsid w:val="13C034F7"/>
    <w:rsid w:val="13E21E27"/>
    <w:rsid w:val="14576EEE"/>
    <w:rsid w:val="146C3610"/>
    <w:rsid w:val="14797E5E"/>
    <w:rsid w:val="148607CD"/>
    <w:rsid w:val="14A54A6E"/>
    <w:rsid w:val="14C1555E"/>
    <w:rsid w:val="14F840D2"/>
    <w:rsid w:val="14F90C75"/>
    <w:rsid w:val="15142AAC"/>
    <w:rsid w:val="15200B35"/>
    <w:rsid w:val="15491C0C"/>
    <w:rsid w:val="155D099A"/>
    <w:rsid w:val="159D1783"/>
    <w:rsid w:val="15A85596"/>
    <w:rsid w:val="15BB0D33"/>
    <w:rsid w:val="15EB11C7"/>
    <w:rsid w:val="16054673"/>
    <w:rsid w:val="16070AE0"/>
    <w:rsid w:val="160E5AA0"/>
    <w:rsid w:val="16C04666"/>
    <w:rsid w:val="16DF0E96"/>
    <w:rsid w:val="1716576D"/>
    <w:rsid w:val="17B730F8"/>
    <w:rsid w:val="17D426A8"/>
    <w:rsid w:val="1811250D"/>
    <w:rsid w:val="182D2D36"/>
    <w:rsid w:val="185A0279"/>
    <w:rsid w:val="185C461C"/>
    <w:rsid w:val="1881673F"/>
    <w:rsid w:val="18B546E0"/>
    <w:rsid w:val="18CA0179"/>
    <w:rsid w:val="1908752E"/>
    <w:rsid w:val="190A56C7"/>
    <w:rsid w:val="197E13A7"/>
    <w:rsid w:val="19983A18"/>
    <w:rsid w:val="19BF7D7B"/>
    <w:rsid w:val="19CE387A"/>
    <w:rsid w:val="19CE758F"/>
    <w:rsid w:val="1A2C1CBD"/>
    <w:rsid w:val="1A321716"/>
    <w:rsid w:val="1A6D48B9"/>
    <w:rsid w:val="1AB104D7"/>
    <w:rsid w:val="1B3C5B92"/>
    <w:rsid w:val="1B3D393E"/>
    <w:rsid w:val="1B5407FB"/>
    <w:rsid w:val="1B6368B9"/>
    <w:rsid w:val="1BA323E9"/>
    <w:rsid w:val="1BCC5FA8"/>
    <w:rsid w:val="1C215235"/>
    <w:rsid w:val="1C2B7D43"/>
    <w:rsid w:val="1C384E5A"/>
    <w:rsid w:val="1CA40C0C"/>
    <w:rsid w:val="1CC43E2A"/>
    <w:rsid w:val="1CC847DE"/>
    <w:rsid w:val="1D012325"/>
    <w:rsid w:val="1D150ADA"/>
    <w:rsid w:val="1D6E0515"/>
    <w:rsid w:val="1DB13013"/>
    <w:rsid w:val="1E0C3ADC"/>
    <w:rsid w:val="1E2F3EF7"/>
    <w:rsid w:val="1E77318B"/>
    <w:rsid w:val="1EE01536"/>
    <w:rsid w:val="1EE3505D"/>
    <w:rsid w:val="1EF22AD5"/>
    <w:rsid w:val="1F235304"/>
    <w:rsid w:val="1F5D2184"/>
    <w:rsid w:val="1F680515"/>
    <w:rsid w:val="20A23404"/>
    <w:rsid w:val="20AE4FA9"/>
    <w:rsid w:val="20B46EB2"/>
    <w:rsid w:val="20E60986"/>
    <w:rsid w:val="215E1DF0"/>
    <w:rsid w:val="21A36274"/>
    <w:rsid w:val="21ED3737"/>
    <w:rsid w:val="21F5163A"/>
    <w:rsid w:val="222A28E3"/>
    <w:rsid w:val="22315125"/>
    <w:rsid w:val="2236598D"/>
    <w:rsid w:val="226A1A56"/>
    <w:rsid w:val="226B4005"/>
    <w:rsid w:val="229606CD"/>
    <w:rsid w:val="22B6739F"/>
    <w:rsid w:val="22D73E3F"/>
    <w:rsid w:val="231C6E68"/>
    <w:rsid w:val="23356F51"/>
    <w:rsid w:val="233C722A"/>
    <w:rsid w:val="23486D02"/>
    <w:rsid w:val="23A571C3"/>
    <w:rsid w:val="23DD1F49"/>
    <w:rsid w:val="240F7F39"/>
    <w:rsid w:val="242520DD"/>
    <w:rsid w:val="243007D6"/>
    <w:rsid w:val="2441618A"/>
    <w:rsid w:val="2456648C"/>
    <w:rsid w:val="24780BF0"/>
    <w:rsid w:val="24910EA8"/>
    <w:rsid w:val="249E5620"/>
    <w:rsid w:val="24D02576"/>
    <w:rsid w:val="2510797D"/>
    <w:rsid w:val="252C160A"/>
    <w:rsid w:val="255527CF"/>
    <w:rsid w:val="255A183F"/>
    <w:rsid w:val="257419FF"/>
    <w:rsid w:val="25890916"/>
    <w:rsid w:val="2598673B"/>
    <w:rsid w:val="25A612D4"/>
    <w:rsid w:val="25B5026A"/>
    <w:rsid w:val="25B7376D"/>
    <w:rsid w:val="25BF60F2"/>
    <w:rsid w:val="25C9278E"/>
    <w:rsid w:val="26086F6D"/>
    <w:rsid w:val="266D7A18"/>
    <w:rsid w:val="26831BBC"/>
    <w:rsid w:val="26A26BEE"/>
    <w:rsid w:val="26D8294B"/>
    <w:rsid w:val="26E87362"/>
    <w:rsid w:val="26FB6383"/>
    <w:rsid w:val="27370766"/>
    <w:rsid w:val="27482BFF"/>
    <w:rsid w:val="274E1CC2"/>
    <w:rsid w:val="278A496D"/>
    <w:rsid w:val="27B56757"/>
    <w:rsid w:val="27BE60C1"/>
    <w:rsid w:val="27C128C8"/>
    <w:rsid w:val="27D36066"/>
    <w:rsid w:val="27F92A09"/>
    <w:rsid w:val="281E73DF"/>
    <w:rsid w:val="2839380C"/>
    <w:rsid w:val="286D5B95"/>
    <w:rsid w:val="28A7603E"/>
    <w:rsid w:val="28D14C84"/>
    <w:rsid w:val="29036758"/>
    <w:rsid w:val="290B5B2E"/>
    <w:rsid w:val="29315FA2"/>
    <w:rsid w:val="295A1365"/>
    <w:rsid w:val="29665177"/>
    <w:rsid w:val="296A5D25"/>
    <w:rsid w:val="298C53B7"/>
    <w:rsid w:val="29BC707E"/>
    <w:rsid w:val="29DF3511"/>
    <w:rsid w:val="29FC6970"/>
    <w:rsid w:val="2A053C81"/>
    <w:rsid w:val="2A3D1958"/>
    <w:rsid w:val="2A4C79F4"/>
    <w:rsid w:val="2AAA55F3"/>
    <w:rsid w:val="2AB57866"/>
    <w:rsid w:val="2ABB7E6C"/>
    <w:rsid w:val="2AC563B9"/>
    <w:rsid w:val="2ACA6897"/>
    <w:rsid w:val="2AD8163F"/>
    <w:rsid w:val="2AFD196F"/>
    <w:rsid w:val="2B344E60"/>
    <w:rsid w:val="2B47454A"/>
    <w:rsid w:val="2B7042D3"/>
    <w:rsid w:val="2B764A49"/>
    <w:rsid w:val="2B7C1166"/>
    <w:rsid w:val="2BD155F1"/>
    <w:rsid w:val="2C580D41"/>
    <w:rsid w:val="2C8A4A20"/>
    <w:rsid w:val="2CFD14DB"/>
    <w:rsid w:val="2D0446E9"/>
    <w:rsid w:val="2D0E71F7"/>
    <w:rsid w:val="2D1D117B"/>
    <w:rsid w:val="2D2D7AAC"/>
    <w:rsid w:val="2DA42F6E"/>
    <w:rsid w:val="2DAC2182"/>
    <w:rsid w:val="2DB35787"/>
    <w:rsid w:val="2DB770D2"/>
    <w:rsid w:val="2DCA3DAD"/>
    <w:rsid w:val="2DD45CBB"/>
    <w:rsid w:val="2DFC6E80"/>
    <w:rsid w:val="2EBC4FD9"/>
    <w:rsid w:val="2ECC1AD7"/>
    <w:rsid w:val="2EE26C10"/>
    <w:rsid w:val="2EFF43BD"/>
    <w:rsid w:val="2F2111E1"/>
    <w:rsid w:val="2F330F8D"/>
    <w:rsid w:val="2F433F14"/>
    <w:rsid w:val="2F4A6917"/>
    <w:rsid w:val="2F58713C"/>
    <w:rsid w:val="2F724463"/>
    <w:rsid w:val="2FA64CBD"/>
    <w:rsid w:val="2FDD3B12"/>
    <w:rsid w:val="2FEE19CD"/>
    <w:rsid w:val="2FF1479E"/>
    <w:rsid w:val="2FF81244"/>
    <w:rsid w:val="3011436C"/>
    <w:rsid w:val="302A0E64"/>
    <w:rsid w:val="30333FA5"/>
    <w:rsid w:val="303F3BB7"/>
    <w:rsid w:val="30542857"/>
    <w:rsid w:val="306153F0"/>
    <w:rsid w:val="3073530A"/>
    <w:rsid w:val="308D3CB6"/>
    <w:rsid w:val="30BB294F"/>
    <w:rsid w:val="30F36EDD"/>
    <w:rsid w:val="310A0D01"/>
    <w:rsid w:val="31665232"/>
    <w:rsid w:val="31C04FAC"/>
    <w:rsid w:val="31C66EB6"/>
    <w:rsid w:val="3204001F"/>
    <w:rsid w:val="321E5346"/>
    <w:rsid w:val="32225ABD"/>
    <w:rsid w:val="32242AD2"/>
    <w:rsid w:val="32373CF1"/>
    <w:rsid w:val="3241438A"/>
    <w:rsid w:val="32482978"/>
    <w:rsid w:val="324E7419"/>
    <w:rsid w:val="32731F3B"/>
    <w:rsid w:val="32B10138"/>
    <w:rsid w:val="32B2363B"/>
    <w:rsid w:val="32D57073"/>
    <w:rsid w:val="32FA7BB8"/>
    <w:rsid w:val="331A75FE"/>
    <w:rsid w:val="333B009C"/>
    <w:rsid w:val="334E12BB"/>
    <w:rsid w:val="33684063"/>
    <w:rsid w:val="33B54162"/>
    <w:rsid w:val="33EF3043"/>
    <w:rsid w:val="33F7044F"/>
    <w:rsid w:val="34355D35"/>
    <w:rsid w:val="348351ED"/>
    <w:rsid w:val="34A22AE6"/>
    <w:rsid w:val="354B64D2"/>
    <w:rsid w:val="3585695C"/>
    <w:rsid w:val="35946F77"/>
    <w:rsid w:val="35F40295"/>
    <w:rsid w:val="35F544E7"/>
    <w:rsid w:val="35F93D60"/>
    <w:rsid w:val="360D4CF6"/>
    <w:rsid w:val="361467EE"/>
    <w:rsid w:val="36667C34"/>
    <w:rsid w:val="366D084E"/>
    <w:rsid w:val="36882D07"/>
    <w:rsid w:val="36E529EA"/>
    <w:rsid w:val="37055B53"/>
    <w:rsid w:val="37227B16"/>
    <w:rsid w:val="373D491F"/>
    <w:rsid w:val="37421410"/>
    <w:rsid w:val="374534D2"/>
    <w:rsid w:val="374765BD"/>
    <w:rsid w:val="377A700A"/>
    <w:rsid w:val="377D0B41"/>
    <w:rsid w:val="37D261A1"/>
    <w:rsid w:val="380D721B"/>
    <w:rsid w:val="38176C95"/>
    <w:rsid w:val="381E081F"/>
    <w:rsid w:val="38373947"/>
    <w:rsid w:val="38677D19"/>
    <w:rsid w:val="386A0C9E"/>
    <w:rsid w:val="387D663A"/>
    <w:rsid w:val="38864D4B"/>
    <w:rsid w:val="38987116"/>
    <w:rsid w:val="389F2071"/>
    <w:rsid w:val="38AF010E"/>
    <w:rsid w:val="38FE3710"/>
    <w:rsid w:val="3914512A"/>
    <w:rsid w:val="3928748E"/>
    <w:rsid w:val="396A4FBD"/>
    <w:rsid w:val="397260FC"/>
    <w:rsid w:val="397855D8"/>
    <w:rsid w:val="39827AB4"/>
    <w:rsid w:val="39917292"/>
    <w:rsid w:val="39CE4DB0"/>
    <w:rsid w:val="39D31BCF"/>
    <w:rsid w:val="3A2754E1"/>
    <w:rsid w:val="3A553CC1"/>
    <w:rsid w:val="3A9A0F33"/>
    <w:rsid w:val="3AA0503A"/>
    <w:rsid w:val="3AD5688C"/>
    <w:rsid w:val="3B250B17"/>
    <w:rsid w:val="3B4E14F1"/>
    <w:rsid w:val="3B692505"/>
    <w:rsid w:val="3B8659DC"/>
    <w:rsid w:val="3B9B6557"/>
    <w:rsid w:val="3BAF4347"/>
    <w:rsid w:val="3BC606A0"/>
    <w:rsid w:val="3BCB4B28"/>
    <w:rsid w:val="3BD7417F"/>
    <w:rsid w:val="3C184B6F"/>
    <w:rsid w:val="3C2E3547"/>
    <w:rsid w:val="3C356755"/>
    <w:rsid w:val="3C4953F6"/>
    <w:rsid w:val="3C4A2E77"/>
    <w:rsid w:val="3C7D6B4A"/>
    <w:rsid w:val="3C8342D6"/>
    <w:rsid w:val="3CAC20B8"/>
    <w:rsid w:val="3D022626"/>
    <w:rsid w:val="3D515C28"/>
    <w:rsid w:val="3DCC1CEF"/>
    <w:rsid w:val="3DE05666"/>
    <w:rsid w:val="3E224C7C"/>
    <w:rsid w:val="3E7E0772"/>
    <w:rsid w:val="3EC74704"/>
    <w:rsid w:val="3EC91F92"/>
    <w:rsid w:val="3F677511"/>
    <w:rsid w:val="3F9A0FE5"/>
    <w:rsid w:val="3FB35A35"/>
    <w:rsid w:val="3FE77770"/>
    <w:rsid w:val="3FFF73D7"/>
    <w:rsid w:val="402E08BC"/>
    <w:rsid w:val="40554EA0"/>
    <w:rsid w:val="405C2838"/>
    <w:rsid w:val="40AC7BA9"/>
    <w:rsid w:val="40D222F3"/>
    <w:rsid w:val="40E36EF6"/>
    <w:rsid w:val="41774922"/>
    <w:rsid w:val="4184568E"/>
    <w:rsid w:val="419633AA"/>
    <w:rsid w:val="41E448C8"/>
    <w:rsid w:val="42076B60"/>
    <w:rsid w:val="42174DE0"/>
    <w:rsid w:val="424E4D56"/>
    <w:rsid w:val="42546C60"/>
    <w:rsid w:val="42593681"/>
    <w:rsid w:val="426A3C06"/>
    <w:rsid w:val="42772697"/>
    <w:rsid w:val="427C4149"/>
    <w:rsid w:val="42A43F26"/>
    <w:rsid w:val="42CD0EA8"/>
    <w:rsid w:val="42FD3BF5"/>
    <w:rsid w:val="43446568"/>
    <w:rsid w:val="435F4B93"/>
    <w:rsid w:val="43BE6232"/>
    <w:rsid w:val="44046714"/>
    <w:rsid w:val="4428205E"/>
    <w:rsid w:val="4432296D"/>
    <w:rsid w:val="447E4FEB"/>
    <w:rsid w:val="44896BFF"/>
    <w:rsid w:val="44913854"/>
    <w:rsid w:val="44DC2E06"/>
    <w:rsid w:val="44EE2FB9"/>
    <w:rsid w:val="452B420A"/>
    <w:rsid w:val="455A14D6"/>
    <w:rsid w:val="457164FB"/>
    <w:rsid w:val="45761D23"/>
    <w:rsid w:val="457F5E93"/>
    <w:rsid w:val="45845B9E"/>
    <w:rsid w:val="458E64AD"/>
    <w:rsid w:val="45900F67"/>
    <w:rsid w:val="46713D0A"/>
    <w:rsid w:val="46741C23"/>
    <w:rsid w:val="46913751"/>
    <w:rsid w:val="46A636F7"/>
    <w:rsid w:val="46D25840"/>
    <w:rsid w:val="46D42F41"/>
    <w:rsid w:val="46F9583A"/>
    <w:rsid w:val="46FC44C1"/>
    <w:rsid w:val="4764152B"/>
    <w:rsid w:val="47681575"/>
    <w:rsid w:val="47786BFC"/>
    <w:rsid w:val="47BA7D3C"/>
    <w:rsid w:val="47D56367"/>
    <w:rsid w:val="47F6431D"/>
    <w:rsid w:val="480A6144"/>
    <w:rsid w:val="480C2C67"/>
    <w:rsid w:val="481B6373"/>
    <w:rsid w:val="481F54E2"/>
    <w:rsid w:val="481F6949"/>
    <w:rsid w:val="4843441C"/>
    <w:rsid w:val="48E07B1E"/>
    <w:rsid w:val="4910286C"/>
    <w:rsid w:val="494552C4"/>
    <w:rsid w:val="495B7468"/>
    <w:rsid w:val="4965086D"/>
    <w:rsid w:val="497B7197"/>
    <w:rsid w:val="499C7ED1"/>
    <w:rsid w:val="499F0103"/>
    <w:rsid w:val="49A0215B"/>
    <w:rsid w:val="49B87801"/>
    <w:rsid w:val="49D438AE"/>
    <w:rsid w:val="4A283338"/>
    <w:rsid w:val="4A31769D"/>
    <w:rsid w:val="4A390BCF"/>
    <w:rsid w:val="4A9943E9"/>
    <w:rsid w:val="4AC666BA"/>
    <w:rsid w:val="4AD25D50"/>
    <w:rsid w:val="4AD34699"/>
    <w:rsid w:val="4B63200B"/>
    <w:rsid w:val="4B6D6A2C"/>
    <w:rsid w:val="4B812670"/>
    <w:rsid w:val="4B9F0BCB"/>
    <w:rsid w:val="4BB84D48"/>
    <w:rsid w:val="4BDE1040"/>
    <w:rsid w:val="4C6420FE"/>
    <w:rsid w:val="4C7068C1"/>
    <w:rsid w:val="4C781019"/>
    <w:rsid w:val="4C812213"/>
    <w:rsid w:val="4C89181E"/>
    <w:rsid w:val="4CA1478B"/>
    <w:rsid w:val="4CAE3FDC"/>
    <w:rsid w:val="4CB570D6"/>
    <w:rsid w:val="4CB90E8C"/>
    <w:rsid w:val="4CF124C7"/>
    <w:rsid w:val="4D1D5E3D"/>
    <w:rsid w:val="4D80363C"/>
    <w:rsid w:val="4DB07082"/>
    <w:rsid w:val="4DC24D9D"/>
    <w:rsid w:val="4DD12E39"/>
    <w:rsid w:val="4DD43DBE"/>
    <w:rsid w:val="4DF2336E"/>
    <w:rsid w:val="4E257040"/>
    <w:rsid w:val="4E4D0205"/>
    <w:rsid w:val="4E730444"/>
    <w:rsid w:val="4E753947"/>
    <w:rsid w:val="4E856160"/>
    <w:rsid w:val="4F203DE0"/>
    <w:rsid w:val="4F4E08C4"/>
    <w:rsid w:val="4F560A37"/>
    <w:rsid w:val="4F5B6DD0"/>
    <w:rsid w:val="4F9A2C2A"/>
    <w:rsid w:val="4FC34643"/>
    <w:rsid w:val="4FD33884"/>
    <w:rsid w:val="4FDA0C90"/>
    <w:rsid w:val="500A4948"/>
    <w:rsid w:val="503500A5"/>
    <w:rsid w:val="506640F7"/>
    <w:rsid w:val="506A2AFE"/>
    <w:rsid w:val="506D279C"/>
    <w:rsid w:val="506F6E02"/>
    <w:rsid w:val="508A77AF"/>
    <w:rsid w:val="5097613A"/>
    <w:rsid w:val="50CE1F5F"/>
    <w:rsid w:val="50DE503B"/>
    <w:rsid w:val="5101768A"/>
    <w:rsid w:val="51226613"/>
    <w:rsid w:val="5126596D"/>
    <w:rsid w:val="51575BFE"/>
    <w:rsid w:val="51974469"/>
    <w:rsid w:val="51A227FA"/>
    <w:rsid w:val="51AA209E"/>
    <w:rsid w:val="51B06732"/>
    <w:rsid w:val="51BA3724"/>
    <w:rsid w:val="51D032AB"/>
    <w:rsid w:val="51D442CE"/>
    <w:rsid w:val="520A47A8"/>
    <w:rsid w:val="521A3067"/>
    <w:rsid w:val="52883491"/>
    <w:rsid w:val="52F036D5"/>
    <w:rsid w:val="530F284A"/>
    <w:rsid w:val="532E1087"/>
    <w:rsid w:val="533246A8"/>
    <w:rsid w:val="53951D31"/>
    <w:rsid w:val="539E75ED"/>
    <w:rsid w:val="53BD153A"/>
    <w:rsid w:val="53D45E05"/>
    <w:rsid w:val="53D822E3"/>
    <w:rsid w:val="53E64CBD"/>
    <w:rsid w:val="53E83831"/>
    <w:rsid w:val="540867EC"/>
    <w:rsid w:val="541C1C0A"/>
    <w:rsid w:val="542A6E48"/>
    <w:rsid w:val="54310D9D"/>
    <w:rsid w:val="54BC3D11"/>
    <w:rsid w:val="54BF4435"/>
    <w:rsid w:val="5523257F"/>
    <w:rsid w:val="55485D8D"/>
    <w:rsid w:val="55552C0B"/>
    <w:rsid w:val="55583B90"/>
    <w:rsid w:val="55735A3E"/>
    <w:rsid w:val="557F10B7"/>
    <w:rsid w:val="55F54D13"/>
    <w:rsid w:val="56162CC9"/>
    <w:rsid w:val="567F25FF"/>
    <w:rsid w:val="568D1A0E"/>
    <w:rsid w:val="569D4227"/>
    <w:rsid w:val="5727418B"/>
    <w:rsid w:val="572B0613"/>
    <w:rsid w:val="572E5D14"/>
    <w:rsid w:val="575525D5"/>
    <w:rsid w:val="5776778D"/>
    <w:rsid w:val="57940F3C"/>
    <w:rsid w:val="579B6D92"/>
    <w:rsid w:val="57B62140"/>
    <w:rsid w:val="57F95620"/>
    <w:rsid w:val="58221AA4"/>
    <w:rsid w:val="585225F3"/>
    <w:rsid w:val="58755133"/>
    <w:rsid w:val="58B61FF7"/>
    <w:rsid w:val="58E608E9"/>
    <w:rsid w:val="59574B17"/>
    <w:rsid w:val="598647CE"/>
    <w:rsid w:val="59E33F73"/>
    <w:rsid w:val="59FC0431"/>
    <w:rsid w:val="5A030C6A"/>
    <w:rsid w:val="5A1A1BDF"/>
    <w:rsid w:val="5A7E7705"/>
    <w:rsid w:val="5A92607D"/>
    <w:rsid w:val="5A9263A6"/>
    <w:rsid w:val="5AA540F7"/>
    <w:rsid w:val="5AB807E4"/>
    <w:rsid w:val="5AE24766"/>
    <w:rsid w:val="5AF4209E"/>
    <w:rsid w:val="5B0B2B6D"/>
    <w:rsid w:val="5B4D3256"/>
    <w:rsid w:val="5B71564B"/>
    <w:rsid w:val="5BEC1A5C"/>
    <w:rsid w:val="5BF062E2"/>
    <w:rsid w:val="5C214CFB"/>
    <w:rsid w:val="5C3744D8"/>
    <w:rsid w:val="5C374CEE"/>
    <w:rsid w:val="5C5C3190"/>
    <w:rsid w:val="5CA2740B"/>
    <w:rsid w:val="5CCA72CA"/>
    <w:rsid w:val="5CCF5950"/>
    <w:rsid w:val="5CE42072"/>
    <w:rsid w:val="5D0108FF"/>
    <w:rsid w:val="5D0A57F6"/>
    <w:rsid w:val="5D0B7C77"/>
    <w:rsid w:val="5D0D61F7"/>
    <w:rsid w:val="5D361E7D"/>
    <w:rsid w:val="5D9B034B"/>
    <w:rsid w:val="5DB2088C"/>
    <w:rsid w:val="5E0F4262"/>
    <w:rsid w:val="5E384F22"/>
    <w:rsid w:val="5E553C0B"/>
    <w:rsid w:val="5E72057F"/>
    <w:rsid w:val="5E9B1744"/>
    <w:rsid w:val="5EC224A4"/>
    <w:rsid w:val="5ED0770D"/>
    <w:rsid w:val="5F0B0223"/>
    <w:rsid w:val="5F63118D"/>
    <w:rsid w:val="5FA921BB"/>
    <w:rsid w:val="5FD1503E"/>
    <w:rsid w:val="5FD82805"/>
    <w:rsid w:val="5FF73BFE"/>
    <w:rsid w:val="60380F23"/>
    <w:rsid w:val="604E5B0B"/>
    <w:rsid w:val="60A81824"/>
    <w:rsid w:val="60C110C9"/>
    <w:rsid w:val="60CE7AC4"/>
    <w:rsid w:val="60E2707F"/>
    <w:rsid w:val="610E4901"/>
    <w:rsid w:val="614035B4"/>
    <w:rsid w:val="6169605F"/>
    <w:rsid w:val="6190249D"/>
    <w:rsid w:val="61927223"/>
    <w:rsid w:val="61B31956"/>
    <w:rsid w:val="61D64494"/>
    <w:rsid w:val="62153F79"/>
    <w:rsid w:val="62A42563"/>
    <w:rsid w:val="62BF7E88"/>
    <w:rsid w:val="62E66E0D"/>
    <w:rsid w:val="6302464E"/>
    <w:rsid w:val="6304035B"/>
    <w:rsid w:val="633079FD"/>
    <w:rsid w:val="63433366"/>
    <w:rsid w:val="63596CDE"/>
    <w:rsid w:val="63857653"/>
    <w:rsid w:val="63F06D02"/>
    <w:rsid w:val="63FF28D3"/>
    <w:rsid w:val="64821319"/>
    <w:rsid w:val="64BB03F0"/>
    <w:rsid w:val="64CB34C1"/>
    <w:rsid w:val="64E17389"/>
    <w:rsid w:val="65635B9F"/>
    <w:rsid w:val="65863920"/>
    <w:rsid w:val="658C3D5B"/>
    <w:rsid w:val="65C34AC1"/>
    <w:rsid w:val="65D84624"/>
    <w:rsid w:val="66376A52"/>
    <w:rsid w:val="665338A2"/>
    <w:rsid w:val="66533F6E"/>
    <w:rsid w:val="665C5A5B"/>
    <w:rsid w:val="66616B07"/>
    <w:rsid w:val="666F5E1C"/>
    <w:rsid w:val="66AE6C06"/>
    <w:rsid w:val="66BF109E"/>
    <w:rsid w:val="66C5166B"/>
    <w:rsid w:val="66DD3ED2"/>
    <w:rsid w:val="66E56279"/>
    <w:rsid w:val="67217E3E"/>
    <w:rsid w:val="676E5874"/>
    <w:rsid w:val="67AA7DA2"/>
    <w:rsid w:val="67DA58BD"/>
    <w:rsid w:val="67DE14F6"/>
    <w:rsid w:val="67DE1705"/>
    <w:rsid w:val="680E2045"/>
    <w:rsid w:val="682E257A"/>
    <w:rsid w:val="685C4343"/>
    <w:rsid w:val="689E1934"/>
    <w:rsid w:val="68B86C5B"/>
    <w:rsid w:val="68C77275"/>
    <w:rsid w:val="68E0257B"/>
    <w:rsid w:val="68F76608"/>
    <w:rsid w:val="69137678"/>
    <w:rsid w:val="691B0EFE"/>
    <w:rsid w:val="69200C09"/>
    <w:rsid w:val="692B3716"/>
    <w:rsid w:val="695717CE"/>
    <w:rsid w:val="6973738E"/>
    <w:rsid w:val="69783816"/>
    <w:rsid w:val="697A5CDF"/>
    <w:rsid w:val="69D72936"/>
    <w:rsid w:val="6A0C30B1"/>
    <w:rsid w:val="6A294847"/>
    <w:rsid w:val="6A310A46"/>
    <w:rsid w:val="6A7D30C3"/>
    <w:rsid w:val="6AA20927"/>
    <w:rsid w:val="6AC25DB6"/>
    <w:rsid w:val="6AF15601"/>
    <w:rsid w:val="6AFE019A"/>
    <w:rsid w:val="6B147394"/>
    <w:rsid w:val="6B43181A"/>
    <w:rsid w:val="6BC21D7A"/>
    <w:rsid w:val="6BCD3F66"/>
    <w:rsid w:val="6BCD756D"/>
    <w:rsid w:val="6BFF2C3D"/>
    <w:rsid w:val="6C022EBF"/>
    <w:rsid w:val="6C2010CF"/>
    <w:rsid w:val="6C4B5CE5"/>
    <w:rsid w:val="6C6A439C"/>
    <w:rsid w:val="6C6B250E"/>
    <w:rsid w:val="6CA21093"/>
    <w:rsid w:val="6CBD07AD"/>
    <w:rsid w:val="6CDB2BA3"/>
    <w:rsid w:val="6CDC1CA0"/>
    <w:rsid w:val="6D400349"/>
    <w:rsid w:val="6D891A42"/>
    <w:rsid w:val="6DA63570"/>
    <w:rsid w:val="6DEE71E8"/>
    <w:rsid w:val="6E194288"/>
    <w:rsid w:val="6E6B2034"/>
    <w:rsid w:val="6EB97BB5"/>
    <w:rsid w:val="6F2375E4"/>
    <w:rsid w:val="6F2C0768"/>
    <w:rsid w:val="6F481390"/>
    <w:rsid w:val="6F5B773E"/>
    <w:rsid w:val="6F9E4A11"/>
    <w:rsid w:val="6FF37799"/>
    <w:rsid w:val="6FF4272A"/>
    <w:rsid w:val="701A2190"/>
    <w:rsid w:val="7045513D"/>
    <w:rsid w:val="705B2B64"/>
    <w:rsid w:val="706D246E"/>
    <w:rsid w:val="7087005D"/>
    <w:rsid w:val="70947C49"/>
    <w:rsid w:val="70A254D7"/>
    <w:rsid w:val="70A433A5"/>
    <w:rsid w:val="70E1067A"/>
    <w:rsid w:val="71190FFF"/>
    <w:rsid w:val="7119421C"/>
    <w:rsid w:val="71295227"/>
    <w:rsid w:val="713339DA"/>
    <w:rsid w:val="71B52E9A"/>
    <w:rsid w:val="71D758D4"/>
    <w:rsid w:val="71F21981"/>
    <w:rsid w:val="720D4729"/>
    <w:rsid w:val="721315BB"/>
    <w:rsid w:val="72442F8E"/>
    <w:rsid w:val="72490434"/>
    <w:rsid w:val="72D4387A"/>
    <w:rsid w:val="730275C0"/>
    <w:rsid w:val="73042301"/>
    <w:rsid w:val="732D5E85"/>
    <w:rsid w:val="737A0503"/>
    <w:rsid w:val="7422568D"/>
    <w:rsid w:val="742C2525"/>
    <w:rsid w:val="74352E35"/>
    <w:rsid w:val="743F3744"/>
    <w:rsid w:val="747B36E0"/>
    <w:rsid w:val="749A5F97"/>
    <w:rsid w:val="74A5381E"/>
    <w:rsid w:val="74BA1505"/>
    <w:rsid w:val="74DF586E"/>
    <w:rsid w:val="75123288"/>
    <w:rsid w:val="751A4A79"/>
    <w:rsid w:val="753A1F8C"/>
    <w:rsid w:val="754E7186"/>
    <w:rsid w:val="755B2C17"/>
    <w:rsid w:val="75815055"/>
    <w:rsid w:val="762E4274"/>
    <w:rsid w:val="763127A1"/>
    <w:rsid w:val="763F670D"/>
    <w:rsid w:val="76F75EBB"/>
    <w:rsid w:val="772A1B8E"/>
    <w:rsid w:val="77574865"/>
    <w:rsid w:val="777D7419"/>
    <w:rsid w:val="778B5343"/>
    <w:rsid w:val="77A45FD4"/>
    <w:rsid w:val="77B57573"/>
    <w:rsid w:val="77DC6B80"/>
    <w:rsid w:val="78020435"/>
    <w:rsid w:val="78586D7C"/>
    <w:rsid w:val="78616D77"/>
    <w:rsid w:val="789E2D74"/>
    <w:rsid w:val="78BB317B"/>
    <w:rsid w:val="78C14B8C"/>
    <w:rsid w:val="78CE0040"/>
    <w:rsid w:val="78D07F80"/>
    <w:rsid w:val="78E401F1"/>
    <w:rsid w:val="78FB2D97"/>
    <w:rsid w:val="79384650"/>
    <w:rsid w:val="7949643E"/>
    <w:rsid w:val="798F6D12"/>
    <w:rsid w:val="79A84025"/>
    <w:rsid w:val="7A142DCB"/>
    <w:rsid w:val="7A2975F5"/>
    <w:rsid w:val="7A56204E"/>
    <w:rsid w:val="7A63337A"/>
    <w:rsid w:val="7AA60107"/>
    <w:rsid w:val="7AB733E4"/>
    <w:rsid w:val="7AD83411"/>
    <w:rsid w:val="7B2F7ECA"/>
    <w:rsid w:val="7B303FA7"/>
    <w:rsid w:val="7B77219D"/>
    <w:rsid w:val="7B8070A2"/>
    <w:rsid w:val="7C0A4B01"/>
    <w:rsid w:val="7C916491"/>
    <w:rsid w:val="7CB632A2"/>
    <w:rsid w:val="7CF717C9"/>
    <w:rsid w:val="7D585F36"/>
    <w:rsid w:val="7D9B4421"/>
    <w:rsid w:val="7DA72945"/>
    <w:rsid w:val="7DB30A83"/>
    <w:rsid w:val="7DDC46E1"/>
    <w:rsid w:val="7DF65A34"/>
    <w:rsid w:val="7E1575E5"/>
    <w:rsid w:val="7E1620C2"/>
    <w:rsid w:val="7E8504AA"/>
    <w:rsid w:val="7EA028CE"/>
    <w:rsid w:val="7EA73659"/>
    <w:rsid w:val="7EBF5846"/>
    <w:rsid w:val="7ED219E3"/>
    <w:rsid w:val="7EFA2E85"/>
    <w:rsid w:val="7EFA7860"/>
    <w:rsid w:val="7F0C588A"/>
    <w:rsid w:val="7F61630B"/>
    <w:rsid w:val="7F6A6DE1"/>
    <w:rsid w:val="7F6F19DA"/>
    <w:rsid w:val="7FA47767"/>
    <w:rsid w:val="7FC5172F"/>
    <w:rsid w:val="7FDB01D3"/>
    <w:rsid w:val="7FE9716D"/>
    <w:rsid w:val="7FF74280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semiHidden="0" w:name="Table Grid"/>
    <w:lsdException w:uiPriority="99" w:name="Table Theme"/>
    <w:lsdException w:qFormat="1" w:unhideWhenUsed="0" w:uiPriority="99" w:semiHidden="0" w:name="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5"/>
    <w:qFormat/>
    <w:uiPriority w:val="9"/>
    <w:pPr>
      <w:keepNext w:val="0"/>
      <w:keepLines w:val="0"/>
      <w:spacing w:before="0" w:beforeLines="0" w:beforeAutospacing="0" w:after="0" w:afterLines="0" w:afterAutospacing="0" w:line="353" w:lineRule="auto"/>
      <w:ind w:firstLine="576" w:firstLineChars="200"/>
      <w:outlineLvl w:val="2"/>
    </w:pPr>
    <w:rPr>
      <w:b/>
      <w:bCs/>
    </w:rPr>
  </w:style>
  <w:style w:type="character" w:default="1" w:styleId="8">
    <w:name w:val="Default Paragraph Font"/>
    <w:unhideWhenUsed/>
    <w:uiPriority w:val="0"/>
  </w:style>
  <w:style w:type="table" w:default="1" w:styleId="12">
    <w:name w:val="Normal Table"/>
    <w:unhideWhenUsed/>
    <w:uiPriority w:val="99"/>
    <w:tblPr>
      <w:tblStyle w:val="12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Date"/>
    <w:basedOn w:val="1"/>
    <w:next w:val="1"/>
    <w:link w:val="23"/>
    <w:unhideWhenUsed/>
    <w:uiPriority w:val="99"/>
    <w:pPr>
      <w:ind w:left="100" w:leftChars="2500"/>
    </w:pPr>
  </w:style>
  <w:style w:type="paragraph" w:styleId="4">
    <w:name w:val="Balloon Text"/>
    <w:basedOn w:val="1"/>
    <w:link w:val="22"/>
    <w:unhideWhenUsed/>
    <w:uiPriority w:val="99"/>
    <w:rPr>
      <w:sz w:val="18"/>
      <w:szCs w:val="18"/>
    </w:rPr>
  </w:style>
  <w:style w:type="paragraph" w:styleId="5">
    <w:name w:val="footer"/>
    <w:basedOn w:val="1"/>
    <w:link w:val="2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page number"/>
    <w:basedOn w:val="8"/>
    <w:unhideWhenUsed/>
    <w:uiPriority w:val="99"/>
  </w:style>
  <w:style w:type="character" w:styleId="11">
    <w:name w:val="Hyperlink"/>
    <w:unhideWhenUsed/>
    <w:uiPriority w:val="99"/>
    <w:rPr>
      <w:color w:val="0000FF"/>
      <w:u w:val="single"/>
    </w:rPr>
  </w:style>
  <w:style w:type="table" w:styleId="13">
    <w:name w:val="Table Grid"/>
    <w:basedOn w:val="12"/>
    <w:unhideWhenUsed/>
    <w:uiPriority w:val="99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styleId="14">
    <w:name w:val="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Plain Text"/>
    <w:basedOn w:val="1"/>
    <w:link w:val="24"/>
    <w:uiPriority w:val="0"/>
    <w:rPr>
      <w:rFonts w:ascii="宋体" w:hAnsi="Courier New"/>
      <w:kern w:val="0"/>
      <w:sz w:val="20"/>
      <w:szCs w:val="20"/>
    </w:rPr>
  </w:style>
  <w:style w:type="paragraph" w:customStyle="1" w:styleId="16">
    <w:name w:val="SBBT1"/>
    <w:basedOn w:val="1"/>
    <w:qFormat/>
    <w:uiPriority w:val="0"/>
    <w:pPr>
      <w:tabs>
        <w:tab w:val="center" w:pos="4678"/>
      </w:tabs>
      <w:spacing w:line="360" w:lineRule="auto"/>
      <w:jc w:val="left"/>
      <w:outlineLvl w:val="0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">
    <w:name w:val="SBBL2"/>
    <w:basedOn w:val="1"/>
    <w:uiPriority w:val="0"/>
    <w:pPr>
      <w:spacing w:beforeLines="50" w:line="360" w:lineRule="auto"/>
      <w:ind w:firstLine="200" w:firstLineChars="200"/>
      <w:jc w:val="left"/>
      <w:outlineLvl w:val="1"/>
    </w:pPr>
    <w:rPr>
      <w:rFonts w:ascii="宋体" w:hAnsi="宋体" w:cs="宋体"/>
      <w:b/>
      <w:bCs/>
      <w:sz w:val="24"/>
    </w:rPr>
  </w:style>
  <w:style w:type="paragraph" w:customStyle="1" w:styleId="18">
    <w:name w:val="SBBZW"/>
    <w:basedOn w:val="1"/>
    <w:uiPriority w:val="0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styleId="19">
    <w:name w:val=""/>
    <w:basedOn w:val="1"/>
    <w:unhideWhenUsed/>
    <w:uiPriority w:val="99"/>
    <w:pPr>
      <w:ind w:firstLine="420" w:firstLineChars="200"/>
    </w:pPr>
  </w:style>
  <w:style w:type="character" w:customStyle="1" w:styleId="20">
    <w:name w:val="页眉 Char"/>
    <w:link w:val="6"/>
    <w:uiPriority w:val="99"/>
    <w:rPr>
      <w:kern w:val="2"/>
      <w:sz w:val="18"/>
      <w:szCs w:val="22"/>
    </w:rPr>
  </w:style>
  <w:style w:type="character" w:customStyle="1" w:styleId="21">
    <w:name w:val="font31"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22">
    <w:name w:val="批注框文本 Char"/>
    <w:link w:val="4"/>
    <w:semiHidden/>
    <w:uiPriority w:val="99"/>
    <w:rPr>
      <w:kern w:val="2"/>
      <w:sz w:val="18"/>
      <w:szCs w:val="18"/>
    </w:rPr>
  </w:style>
  <w:style w:type="character" w:customStyle="1" w:styleId="23">
    <w:name w:val="日期 Char"/>
    <w:link w:val="3"/>
    <w:semiHidden/>
    <w:uiPriority w:val="99"/>
    <w:rPr>
      <w:kern w:val="2"/>
      <w:sz w:val="21"/>
      <w:szCs w:val="22"/>
    </w:rPr>
  </w:style>
  <w:style w:type="character" w:customStyle="1" w:styleId="24">
    <w:name w:val="纯文本 Char"/>
    <w:link w:val="15"/>
    <w:uiPriority w:val="0"/>
    <w:rPr>
      <w:rFonts w:ascii="宋体" w:hAnsi="Courier New"/>
    </w:rPr>
  </w:style>
  <w:style w:type="character" w:customStyle="1" w:styleId="25">
    <w:name w:val="标题 3 Char"/>
    <w:link w:val="2"/>
    <w:qFormat/>
    <w:uiPriority w:val="0"/>
    <w:rPr>
      <w:b/>
      <w:bCs/>
    </w:rPr>
  </w:style>
  <w:style w:type="character" w:customStyle="1" w:styleId="26">
    <w:name w:val="页脚 Char"/>
    <w:link w:val="5"/>
    <w:uiPriority w:val="99"/>
    <w:rPr>
      <w:kern w:val="2"/>
      <w:sz w:val="18"/>
      <w:szCs w:val="18"/>
    </w:rPr>
  </w:style>
  <w:style w:type="character" w:customStyle="1" w:styleId="27">
    <w:name w:val="font21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8">
    <w:name w:val="font51"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29">
    <w:name w:val="font11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3123</Words>
  <Characters>3330</Characters>
  <Lines>43</Lines>
  <Paragraphs>12</Paragraphs>
  <TotalTime>0</TotalTime>
  <ScaleCrop>false</ScaleCrop>
  <LinksUpToDate>false</LinksUpToDate>
  <CharactersWithSpaces>6091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2019-03-20T01:02:00Z</dcterms:created>
  <dc:creator>Administrator</dc:creator>
  <cp:lastModifiedBy>Administrator</cp:lastModifiedBy>
  <cp:lastPrinted>2019-03-22T09:26:29Z</cp:lastPrinted>
  <dcterms:modified xsi:type="dcterms:W3CDTF">2019-03-26T06:26:11Z</dcterms:modified>
  <dc:title>关于组建贵州省科技特派员创新创业协会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