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F6" w:rsidRPr="00BE28C2" w:rsidRDefault="008F52DE">
      <w:pPr>
        <w:snapToGrid w:val="0"/>
        <w:spacing w:line="336" w:lineRule="auto"/>
        <w:rPr>
          <w:rFonts w:ascii="仿宋" w:eastAsia="仿宋" w:hAnsi="仿宋" w:cs="黑体"/>
          <w:snapToGrid w:val="0"/>
          <w:kern w:val="0"/>
          <w:sz w:val="24"/>
          <w:szCs w:val="24"/>
        </w:rPr>
      </w:pPr>
      <w:r w:rsidRPr="00BE28C2">
        <w:rPr>
          <w:rFonts w:ascii="仿宋" w:eastAsia="仿宋" w:hAnsi="仿宋" w:cs="黑体" w:hint="eastAsia"/>
          <w:snapToGrid w:val="0"/>
          <w:kern w:val="0"/>
          <w:sz w:val="24"/>
          <w:szCs w:val="24"/>
        </w:rPr>
        <w:t>附件</w:t>
      </w:r>
    </w:p>
    <w:p w:rsidR="00453AF6" w:rsidRPr="00BE28C2" w:rsidRDefault="00453AF6">
      <w:pPr>
        <w:snapToGrid w:val="0"/>
        <w:spacing w:line="336" w:lineRule="auto"/>
        <w:rPr>
          <w:rFonts w:ascii="仿宋" w:eastAsia="仿宋" w:hAnsi="仿宋"/>
          <w:snapToGrid w:val="0"/>
          <w:kern w:val="0"/>
          <w:sz w:val="24"/>
          <w:szCs w:val="24"/>
        </w:rPr>
      </w:pPr>
    </w:p>
    <w:p w:rsidR="00453AF6" w:rsidRPr="00BE28C2" w:rsidRDefault="008F52DE" w:rsidP="00BE28C2">
      <w:pPr>
        <w:snapToGrid w:val="0"/>
        <w:spacing w:line="336" w:lineRule="auto"/>
        <w:jc w:val="center"/>
        <w:rPr>
          <w:rFonts w:ascii="仿宋" w:eastAsia="仿宋" w:hAnsi="仿宋"/>
          <w:b/>
          <w:snapToGrid w:val="0"/>
          <w:kern w:val="0"/>
          <w:sz w:val="24"/>
          <w:szCs w:val="24"/>
        </w:rPr>
      </w:pPr>
      <w:r w:rsidRPr="00BE28C2">
        <w:rPr>
          <w:rFonts w:ascii="仿宋" w:eastAsia="仿宋" w:hAnsi="仿宋" w:cs="文星简小标宋" w:hint="eastAsia"/>
          <w:b/>
          <w:snapToGrid w:val="0"/>
          <w:kern w:val="0"/>
          <w:sz w:val="24"/>
          <w:szCs w:val="24"/>
        </w:rPr>
        <w:t>自然人申请代开发票个人所得税核定征收率表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292"/>
        <w:gridCol w:w="3448"/>
      </w:tblGrid>
      <w:tr w:rsidR="00453AF6" w:rsidRPr="00BE28C2" w:rsidTr="00BE28C2">
        <w:trPr>
          <w:trHeight w:val="567"/>
          <w:jc w:val="center"/>
        </w:trPr>
        <w:tc>
          <w:tcPr>
            <w:tcW w:w="2157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征收率（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 w:val="restar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出租住宅（含商住两用）</w:t>
            </w: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 w:val="restar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出租非住宅</w:t>
            </w: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 w:val="restar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转租住宅（含商住两用）</w:t>
            </w: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 w:val="restar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转租非住宅</w:t>
            </w: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元以内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Merge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2068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月租金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30000</w:t>
            </w: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元以上</w:t>
            </w: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首次转让已购公有住房、解困工程住房、集资自建住房、安居工程住房、经济适用住房以及拆迁安置住房</w:t>
            </w: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453AF6" w:rsidRPr="00BE28C2" w:rsidTr="00BE28C2">
        <w:trPr>
          <w:trHeight w:val="567"/>
          <w:jc w:val="center"/>
        </w:trPr>
        <w:tc>
          <w:tcPr>
            <w:tcW w:w="2157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转让其他住房</w:t>
            </w:r>
          </w:p>
        </w:tc>
        <w:tc>
          <w:tcPr>
            <w:tcW w:w="775" w:type="pct"/>
            <w:vAlign w:val="center"/>
          </w:tcPr>
          <w:p w:rsidR="00453AF6" w:rsidRPr="00BE28C2" w:rsidRDefault="008F52DE">
            <w:pPr>
              <w:widowControl/>
              <w:snapToGrid w:val="0"/>
              <w:ind w:leftChars="50" w:left="160" w:rightChars="50" w:right="16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8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453AF6" w:rsidRPr="00BE28C2" w:rsidRDefault="00453AF6">
            <w:pPr>
              <w:widowControl/>
              <w:snapToGrid w:val="0"/>
              <w:ind w:leftChars="50" w:left="160" w:rightChars="50" w:right="16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453AF6" w:rsidRPr="00BE28C2" w:rsidRDefault="008F52DE">
      <w:pPr>
        <w:snapToGrid w:val="0"/>
        <w:spacing w:beforeLines="30" w:before="93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BE28C2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注：“以上”均不含本数，“以内”含本数。</w:t>
      </w:r>
    </w:p>
    <w:sectPr w:rsidR="00453AF6" w:rsidRPr="00BE28C2">
      <w:foot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DE" w:rsidRDefault="008F52DE">
      <w:r>
        <w:separator/>
      </w:r>
    </w:p>
  </w:endnote>
  <w:endnote w:type="continuationSeparator" w:id="0">
    <w:p w:rsidR="008F52DE" w:rsidRDefault="008F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F6" w:rsidRDefault="008F52DE">
    <w:pPr>
      <w:pStyle w:val="a3"/>
      <w:ind w:right="360" w:firstLineChars="100" w:firstLine="280"/>
      <w:rPr>
        <w:rFonts w:ascii="宋体" w:eastAsia="宋体" w:hAnsi="宋体"/>
        <w:sz w:val="28"/>
      </w:rPr>
    </w:pPr>
    <w:r>
      <w:rPr>
        <w:rStyle w:val="a4"/>
        <w:rFonts w:ascii="宋体" w:eastAsia="宋体" w:hAnsi="宋体" w:hint="eastAsia"/>
        <w:sz w:val="28"/>
      </w:rPr>
      <w:t>－</w:t>
    </w:r>
    <w:r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F6" w:rsidRDefault="008F52DE">
    <w:pPr>
      <w:pStyle w:val="a3"/>
      <w:wordWrap w:val="0"/>
      <w:jc w:val="right"/>
      <w:rPr>
        <w:rFonts w:ascii="宋体" w:eastAsia="宋体" w:hAnsi="宋体"/>
        <w:sz w:val="28"/>
      </w:rPr>
    </w:pPr>
    <w:r>
      <w:rPr>
        <w:rStyle w:val="a4"/>
        <w:rFonts w:ascii="宋体" w:eastAsia="宋体" w:hAnsi="宋体" w:hint="eastAsia"/>
        <w:sz w:val="28"/>
      </w:rPr>
      <w:t>－</w:t>
    </w:r>
    <w:r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 w:rsidR="00BE28C2">
      <w:rPr>
        <w:rStyle w:val="a4"/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 w:hint="eastAsia"/>
        <w:sz w:val="28"/>
      </w:rPr>
      <w:t>－</w:t>
    </w:r>
    <w:r>
      <w:rPr>
        <w:rStyle w:val="a4"/>
        <w:rFonts w:ascii="宋体" w:eastAsia="宋体" w:hAnsi="宋体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DE" w:rsidRDefault="008F52DE">
      <w:r>
        <w:separator/>
      </w:r>
    </w:p>
  </w:footnote>
  <w:footnote w:type="continuationSeparator" w:id="0">
    <w:p w:rsidR="008F52DE" w:rsidRDefault="008F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F6" w:rsidRDefault="008F52DE">
    <w:pPr>
      <w:snapToGrid w:val="0"/>
      <w:spacing w:line="348" w:lineRule="auto"/>
      <w:rPr>
        <w:rFonts w:ascii="仿宋_GB2312"/>
        <w:b/>
        <w:bCs/>
        <w:w w:val="66"/>
        <w:szCs w:val="32"/>
      </w:rPr>
    </w:pPr>
    <w:r>
      <w:rPr>
        <w:rFonts w:ascii="仿宋_GB2312" w:hint="eastAsia"/>
        <w:b/>
        <w:bCs/>
        <w:w w:val="66"/>
        <w:szCs w:val="32"/>
      </w:rPr>
      <w:t>QDCR</w:t>
    </w:r>
    <w:r>
      <w:rPr>
        <w:rFonts w:ascii="仿宋_GB2312" w:hint="eastAsia"/>
        <w:b/>
        <w:bCs/>
        <w:w w:val="66"/>
        <w:szCs w:val="32"/>
      </w:rPr>
      <w:t>－</w:t>
    </w:r>
    <w:r>
      <w:rPr>
        <w:rFonts w:ascii="仿宋_GB2312" w:hint="eastAsia"/>
        <w:b/>
        <w:bCs/>
        <w:w w:val="66"/>
        <w:szCs w:val="32"/>
      </w:rPr>
      <w:t>201</w:t>
    </w:r>
    <w:r>
      <w:rPr>
        <w:rFonts w:ascii="仿宋_GB2312" w:hint="eastAsia"/>
        <w:b/>
        <w:bCs/>
        <w:w w:val="66"/>
        <w:szCs w:val="32"/>
      </w:rPr>
      <w:t>8</w:t>
    </w:r>
    <w:r>
      <w:rPr>
        <w:rFonts w:ascii="仿宋_GB2312" w:hint="eastAsia"/>
        <w:b/>
        <w:bCs/>
        <w:w w:val="66"/>
        <w:szCs w:val="32"/>
      </w:rPr>
      <w:t>－</w:t>
    </w:r>
    <w:r>
      <w:rPr>
        <w:rFonts w:ascii="仿宋_GB2312" w:hint="eastAsia"/>
        <w:b/>
        <w:bCs/>
        <w:w w:val="66"/>
        <w:szCs w:val="32"/>
      </w:rPr>
      <w:t>04400</w:t>
    </w:r>
    <w:r>
      <w:rPr>
        <w:rFonts w:ascii="仿宋_GB2312" w:hint="eastAsia"/>
        <w:b/>
        <w:bCs/>
        <w:w w:val="66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84844"/>
    <w:rsid w:val="00453AF6"/>
    <w:rsid w:val="008F52DE"/>
    <w:rsid w:val="00BE28C2"/>
    <w:rsid w:val="6EE92DE7"/>
    <w:rsid w:val="704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AB1BD1-818B-4615-9C61-CE33E818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a5">
    <w:name w:val="法规库"/>
    <w:basedOn w:val="a"/>
    <w:pPr>
      <w:spacing w:line="360" w:lineRule="auto"/>
      <w:ind w:firstLineChars="200" w:firstLine="4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servyou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shaofd</cp:lastModifiedBy>
  <cp:revision>3</cp:revision>
  <dcterms:created xsi:type="dcterms:W3CDTF">2018-04-26T02:41:00Z</dcterms:created>
  <dcterms:modified xsi:type="dcterms:W3CDTF">2018-04-28T00:56:00Z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